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embeddings/oleObject1.bin" ContentType="application/vnd.openxmlformats-officedocument.oleObject"/>
  <Override PartName="/word/numbering.xml" ContentType="application/vnd.openxmlformats-officedocument.wordprocessingml.numbering+xml"/>
  <Override PartName="/word/media/image4.emf" ContentType="image/x-emf"/>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240" w:after="120"/>
        <w:jc w:val="start"/>
        <w:rPr>
          <w:color w:val="auto"/>
        </w:rPr>
      </w:pPr>
      <w:r>
        <w:rPr>
          <w:color w:val="auto"/>
        </w:rPr>
        <w:t>02.26 Planungstool für Blau-Grüne Infrastruktur (BGI-Planer)</w:t>
      </w:r>
    </w:p>
    <w:p>
      <w:pPr>
        <w:pStyle w:val="Heading2"/>
        <w:rPr>
          <w:rFonts w:ascii="Times New Roman" w:hAnsi="Times New Roman"/>
        </w:rPr>
      </w:pPr>
      <w:r>
        <w:rPr/>
        <w:t>Zusammenfassung</w:t>
      </w:r>
    </w:p>
    <w:p>
      <w:pPr>
        <w:pStyle w:val="Normal"/>
        <w:widowControl w:val="false"/>
        <w:spacing w:lineRule="auto" w:line="276" w:before="0" w:after="120"/>
        <w:jc w:val="both"/>
        <w:rPr>
          <w:rFonts w:ascii="Arial" w:hAnsi="Arial"/>
        </w:rPr>
      </w:pPr>
      <w:r>
        <w:rPr>
          <w:rFonts w:ascii="Arial" w:hAnsi="Arial"/>
        </w:rPr>
        <w:t>Der Blau-Grüne Infrastrukturplaner (BGI-Planer) ist eine kartenbasierte Webanwendung, welche die Berliner Verwaltung dabei unterstützt, blau-grüne Infrastrukturmaßnahmen frühzeitig in Planungsprozesse zu integrieren. Der Prototyp entstand im Rahmen des Smart City Modellprojekts SmartWater (2022 – 2026) als Antwort auf wachsende urbane Klimaherausforderungen wie Hitze, Starkregen und Trockenheit.</w:t>
      </w:r>
    </w:p>
    <w:p>
      <w:pPr>
        <w:pStyle w:val="Normal"/>
        <w:widowControl w:val="false"/>
        <w:spacing w:lineRule="auto" w:line="276" w:before="0" w:after="120"/>
        <w:jc w:val="both"/>
        <w:rPr>
          <w:rFonts w:ascii="Arial" w:hAnsi="Arial"/>
        </w:rPr>
      </w:pPr>
      <w:r>
        <w:rPr>
          <w:rFonts w:ascii="Arial" w:hAnsi="Arial"/>
        </w:rPr>
        <w:t xml:space="preserve">Das Tool bietet die Möglichkeit, Projektgebiete auf Handlungsbedarfe zu untersuchen, Machbarkeiten für Maßnahmen zu prüfen und erste Planungsszenarien zu erstellen und auf ihre Effekte bewerten zu lassen. Dafür bündelt es Karten aus dem Umweltatlas und den Planungshinweisen Stadtklima und bietet Nutzerinnen und Nutzer mithilfe von Anleitungen und Hinweisen eine Unterstützung in der Planung. </w:t>
      </w:r>
    </w:p>
    <w:p>
      <w:pPr>
        <w:pStyle w:val="Normal"/>
        <w:widowControl w:val="false"/>
        <w:spacing w:lineRule="auto" w:line="276" w:before="0" w:after="120"/>
        <w:jc w:val="both"/>
        <w:rPr>
          <w:rFonts w:ascii="Arial" w:hAnsi="Arial"/>
        </w:rPr>
      </w:pPr>
      <w:r>
        <w:rPr>
          <w:rFonts w:ascii="Arial" w:hAnsi="Arial"/>
        </w:rPr>
        <w:t>Der BGI-Planer soll damit strategische Entscheidungen in frühen Planungsphasen erleichtern und die Umsetzung der Schwammstadt in Berlin gezielt fördern.</w:t>
      </w:r>
    </w:p>
    <w:p>
      <w:pPr>
        <w:pStyle w:val="Normal"/>
        <w:widowControl w:val="false"/>
        <w:spacing w:lineRule="auto" w:line="276" w:before="0" w:after="120"/>
        <w:jc w:val="both"/>
        <w:rPr>
          <w:rFonts w:ascii="Arial" w:hAnsi="Arial"/>
        </w:rPr>
      </w:pPr>
      <w:r>
        <w:rPr/>
        <w:drawing>
          <wp:inline distT="0" distB="0" distL="0" distR="0">
            <wp:extent cx="5760085" cy="97409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2"/>
                    <a:stretch>
                      <a:fillRect/>
                    </a:stretch>
                  </pic:blipFill>
                  <pic:spPr bwMode="auto">
                    <a:xfrm>
                      <a:off x="0" y="0"/>
                      <a:ext cx="5760085" cy="974090"/>
                    </a:xfrm>
                    <a:prstGeom prst="rect">
                      <a:avLst/>
                    </a:prstGeom>
                    <a:noFill/>
                  </pic:spPr>
                </pic:pic>
              </a:graphicData>
            </a:graphic>
          </wp:inline>
        </w:drawing>
      </w:r>
    </w:p>
    <w:p>
      <w:pPr>
        <w:pStyle w:val="Heading2"/>
        <w:rPr/>
      </w:pPr>
      <w:r>
        <w:rPr/>
        <w:t>Einleitung</w:t>
      </w:r>
    </w:p>
    <w:p>
      <w:pPr>
        <w:pStyle w:val="Normal"/>
        <w:widowControl w:val="false"/>
        <w:spacing w:lineRule="auto" w:line="276" w:before="0" w:after="120"/>
        <w:jc w:val="both"/>
        <w:rPr>
          <w:rFonts w:ascii="Arial" w:hAnsi="Arial" w:cs="Arial"/>
          <w:b/>
          <w:bCs/>
          <w:sz w:val="22"/>
          <w:szCs w:val="22"/>
          <w:shd w:fill="FFFFFF" w:val="clear"/>
        </w:rPr>
      </w:pPr>
      <w:r>
        <w:rPr>
          <w:rFonts w:cs="Arial" w:ascii="Arial" w:hAnsi="Arial"/>
          <w:b/>
          <w:bCs/>
          <w:sz w:val="22"/>
          <w:szCs w:val="22"/>
          <w:shd w:fill="FFFFFF" w:val="clear"/>
        </w:rPr>
        <w:t>Hintergrund</w:t>
      </w:r>
    </w:p>
    <w:p>
      <w:pPr>
        <w:pStyle w:val="Normal"/>
        <w:widowControl w:val="false"/>
        <w:spacing w:lineRule="auto" w:line="276" w:before="0" w:after="120"/>
        <w:jc w:val="both"/>
        <w:rPr>
          <w:rFonts w:ascii="Arial" w:hAnsi="Arial" w:cs="Arial"/>
          <w:shd w:fill="FFFFFF" w:val="clear"/>
        </w:rPr>
      </w:pPr>
      <w:r>
        <w:rPr>
          <w:rFonts w:cs="Arial" w:ascii="Arial" w:hAnsi="Arial"/>
          <w:shd w:fill="FFFFFF" w:val="clear"/>
        </w:rPr>
        <w:t xml:space="preserve">Die </w:t>
      </w:r>
      <w:r>
        <w:rPr>
          <w:rFonts w:cs="Arial" w:ascii="Arial" w:hAnsi="Arial"/>
          <w:b/>
          <w:bCs/>
          <w:shd w:fill="FFFFFF" w:val="clear"/>
        </w:rPr>
        <w:t>Auswirkungen des Klimawandels</w:t>
      </w:r>
      <w:r>
        <w:rPr>
          <w:rFonts w:cs="Arial" w:ascii="Arial" w:hAnsi="Arial"/>
          <w:shd w:fill="FFFFFF" w:val="clear"/>
        </w:rPr>
        <w:t xml:space="preserve"> werden in Berlin immer spürbarer. Hitze, Starkregenereignisse und Dürre sind zentrale Herausforderungen für die Stadt und müssen in Planungen zunehmend berücksichtigt werden. Als Reaktion darauf hat sich das Konzept der Schwammstadt in vielen Städten etabliert: Es muss mehr Raum für Grün geschaffen und gleichzeitig der Rückhalt von Wasser gesichert werden. Ein entscheidender Ansatz ist der Aufbau und die Pflege von </w:t>
      </w:r>
      <w:r>
        <w:rPr>
          <w:rFonts w:cs="Arial" w:ascii="Arial" w:hAnsi="Arial"/>
          <w:b/>
          <w:bCs/>
          <w:shd w:fill="FFFFFF" w:val="clear"/>
        </w:rPr>
        <w:t>blau-grüner Infrastruktur</w:t>
      </w:r>
      <w:r>
        <w:rPr>
          <w:rFonts w:cs="Arial" w:ascii="Arial" w:hAnsi="Arial"/>
          <w:shd w:fill="FFFFFF" w:val="clear"/>
        </w:rPr>
        <w:t>. Dazu zählen unter anderem begrünte Dächer und Fassaden, Regenwasserspeicher, Versickerungsanlagen oder auch künstliche Gewässer. Diese Maßnahmen haben eine Vielzahl von positiven Effekten für die Stadt:</w:t>
      </w:r>
    </w:p>
    <w:p>
      <w:pPr>
        <w:pStyle w:val="ListParagraph"/>
        <w:widowControl w:val="false"/>
        <w:numPr>
          <w:ilvl w:val="0"/>
          <w:numId w:val="1"/>
        </w:numPr>
        <w:spacing w:lineRule="auto" w:line="276" w:before="0" w:after="120"/>
        <w:contextualSpacing/>
        <w:jc w:val="both"/>
        <w:rPr>
          <w:rFonts w:ascii="Arial" w:hAnsi="Arial" w:cs="Arial"/>
          <w:shd w:fill="FFFFFF" w:val="clear"/>
        </w:rPr>
      </w:pPr>
      <w:r>
        <w:rPr>
          <w:rFonts w:cs="Arial" w:ascii="Arial" w:hAnsi="Arial"/>
          <w:shd w:fill="FFFFFF" w:val="clear"/>
        </w:rPr>
        <w:t>Sie fungieren als Zwischenspeicher von Regenwasser und können z. B. bei hohen Temperaturen das Mikroklima verbessern. Die Verdunstung des Wassers kühlt die Luft und senkt die Temperaturen in den umliegenden Bereichen. Zusätzlich schützen Pflanzen durch ihre Verschattung Dächer und Wände vor Überhitzung, wodurch sich auch die Innenräume kühler halten.</w:t>
      </w:r>
    </w:p>
    <w:p>
      <w:pPr>
        <w:pStyle w:val="ListParagraph"/>
        <w:widowControl w:val="false"/>
        <w:numPr>
          <w:ilvl w:val="0"/>
          <w:numId w:val="1"/>
        </w:numPr>
        <w:spacing w:lineRule="auto" w:line="276" w:before="0" w:after="120"/>
        <w:contextualSpacing/>
        <w:jc w:val="both"/>
        <w:rPr>
          <w:rFonts w:ascii="Arial" w:hAnsi="Arial" w:cs="Arial"/>
          <w:shd w:fill="FFFFFF" w:val="clear"/>
        </w:rPr>
      </w:pPr>
      <w:r>
        <w:rPr>
          <w:rFonts w:cs="Arial" w:ascii="Arial" w:hAnsi="Arial"/>
          <w:shd w:fill="FFFFFF" w:val="clear"/>
        </w:rPr>
        <w:t>Bei Regenfällen ermöglichen sie das Versickern des Wassers in den Boden. Dadurch werden der Regenwasserabfluss reduziert und die Kanalisation sowie die Gewässer entlastet. Gleichzeitig wird das oberflächennahe Grundwasser aufgefüllt und das im Boden gespeicherte Wasser kann der städtischen Vegetation zugutekommen.</w:t>
      </w:r>
    </w:p>
    <w:p>
      <w:pPr>
        <w:pStyle w:val="ListParagraph"/>
        <w:widowControl w:val="false"/>
        <w:numPr>
          <w:ilvl w:val="0"/>
          <w:numId w:val="1"/>
        </w:numPr>
        <w:spacing w:lineRule="auto" w:line="276" w:before="0" w:after="120"/>
        <w:contextualSpacing/>
        <w:jc w:val="both"/>
        <w:rPr>
          <w:rFonts w:ascii="Arial" w:hAnsi="Arial" w:cs="Arial"/>
          <w:shd w:fill="FFFFFF" w:val="clear"/>
        </w:rPr>
      </w:pPr>
      <w:r>
        <w:rPr>
          <w:rFonts w:ascii="Arial" w:hAnsi="Arial"/>
        </w:rPr>
        <w:t>Neben diesen praktischen Ökosystemdienstleistungen, die blau--grüne Infrastrukturen bieten, tragen sie auch erheblich zur Aufenthaltsqualität der Stadt bei. Grünflächen, Bäume und Wasserflächen erhöhen das Wohlbefinden und schaffen Orte der Erholung.</w:t>
      </w:r>
    </w:p>
    <w:p>
      <w:pPr>
        <w:pStyle w:val="Normal"/>
        <w:widowControl w:val="false"/>
        <w:spacing w:lineRule="auto" w:line="276" w:before="0" w:after="120"/>
        <w:jc w:val="both"/>
        <w:rPr>
          <w:rFonts w:ascii="Arial" w:hAnsi="Arial"/>
          <w:b/>
          <w:bCs/>
          <w:sz w:val="22"/>
          <w:szCs w:val="22"/>
        </w:rPr>
      </w:pPr>
      <w:r>
        <w:rPr>
          <w:rFonts w:ascii="Arial" w:hAnsi="Arial"/>
          <w:b/>
          <w:bCs/>
          <w:sz w:val="22"/>
          <w:szCs w:val="22"/>
        </w:rPr>
      </w:r>
    </w:p>
    <w:p>
      <w:pPr>
        <w:pStyle w:val="Normal"/>
        <w:widowControl w:val="false"/>
        <w:spacing w:lineRule="auto" w:line="276" w:before="0" w:after="120"/>
        <w:jc w:val="both"/>
        <w:rPr>
          <w:rFonts w:ascii="Arial" w:hAnsi="Arial"/>
          <w:b/>
          <w:bCs/>
          <w:sz w:val="22"/>
          <w:szCs w:val="22"/>
        </w:rPr>
      </w:pPr>
      <w:r>
        <w:rPr>
          <w:rFonts w:ascii="Arial" w:hAnsi="Arial"/>
          <w:b/>
          <w:bCs/>
          <w:sz w:val="22"/>
          <w:szCs w:val="22"/>
        </w:rPr>
        <w:t>Projekt SmartWater</w:t>
      </w:r>
    </w:p>
    <w:p>
      <w:pPr>
        <w:pStyle w:val="Normal"/>
        <w:widowControl w:val="false"/>
        <w:spacing w:lineRule="auto" w:line="276" w:before="0" w:after="120"/>
        <w:jc w:val="both"/>
        <w:rPr>
          <w:rFonts w:ascii="Arial" w:hAnsi="Arial"/>
        </w:rPr>
      </w:pPr>
      <w:r>
        <w:rPr>
          <w:rFonts w:ascii="Arial" w:hAnsi="Arial"/>
        </w:rPr>
        <w:t xml:space="preserve">Der Blau-Grüne Infrastrukturplaner (BGI-Planer) wurde im Rahmen des Projekts </w:t>
      </w:r>
      <w:hyperlink r:id="rId3" w:tooltip="https://gemeinsamdigital.berlin.de/de/smart-water/prototyp-digitales-planungstool/">
        <w:r>
          <w:rPr>
            <w:rStyle w:val="Hyperlink"/>
            <w:rFonts w:ascii="Arial" w:hAnsi="Arial"/>
          </w:rPr>
          <w:t>SmartWater</w:t>
        </w:r>
      </w:hyperlink>
      <w:r>
        <w:rPr>
          <w:rFonts w:ascii="Arial" w:hAnsi="Arial"/>
        </w:rPr>
        <w:t xml:space="preserve"> mit Unterstützung der Senatskanzlei Berlin im Kontext der Modellprojekte Smart Cities und der Strategie „Gemeinsam Digital: Berlin" entwickelt, gefördert durch die Senatskanzlei, das Bundesministerium für Wohnen, Stadtentwicklung und Bauwesen (BMWSB) und die KfW. Das Projekt lief von 2022 bis 2026 und erhielt Fördermittel, um drei digitale Prototypen zu entwickeln, darunter der BGI-Planer.</w:t>
      </w:r>
    </w:p>
    <w:p>
      <w:pPr>
        <w:pStyle w:val="Normal"/>
        <w:widowControl w:val="false"/>
        <w:spacing w:lineRule="auto" w:line="276" w:before="0" w:after="120"/>
        <w:jc w:val="both"/>
        <w:rPr>
          <w:rFonts w:ascii="Arial" w:hAnsi="Arial" w:cs="Arial"/>
          <w:shd w:fill="FFFFFF" w:val="clear"/>
        </w:rPr>
      </w:pPr>
      <w:r>
        <w:rPr>
          <w:rFonts w:cs="Arial" w:ascii="Arial" w:hAnsi="Arial"/>
          <w:shd w:fill="FFFFFF" w:val="clear"/>
        </w:rPr>
        <w:t xml:space="preserve">Der </w:t>
      </w:r>
      <w:r>
        <w:rPr>
          <w:rFonts w:cs="Arial" w:ascii="Arial" w:hAnsi="Arial"/>
          <w:b/>
          <w:bCs/>
          <w:shd w:fill="FFFFFF" w:val="clear"/>
        </w:rPr>
        <w:t>BGI-Planer</w:t>
      </w:r>
      <w:r>
        <w:rPr>
          <w:rFonts w:cs="Arial" w:ascii="Arial" w:hAnsi="Arial"/>
          <w:shd w:fill="FFFFFF" w:val="clear"/>
        </w:rPr>
        <w:t xml:space="preserve"> ist eine kartenbasierte, prototypische Webanwendung, die Mitarbeitende der Berliner Planungsreferate auf Senats- und Bezirksebene dabei unterstützt, Maßnahmen für blau-grüne Infrastruktur frühzeitig in Planungsprozesse zu integrieren. Das Tool soll strategische Entscheidungen in frühen Planungsphasen erleichtern und in späteren Phasen bei der Umsetzung konkreter Maßnahmen Orientierung bieten.</w:t>
      </w:r>
    </w:p>
    <w:p>
      <w:pPr>
        <w:pStyle w:val="Normal"/>
        <w:widowControl w:val="false"/>
        <w:spacing w:lineRule="auto" w:line="276" w:before="0" w:after="120"/>
        <w:jc w:val="both"/>
        <w:rPr>
          <w:rFonts w:ascii="Arial" w:hAnsi="Arial"/>
          <w:b/>
          <w:bCs/>
          <w:sz w:val="22"/>
          <w:szCs w:val="22"/>
        </w:rPr>
      </w:pPr>
      <w:r>
        <w:rPr>
          <w:rFonts w:ascii="Arial" w:hAnsi="Arial"/>
          <w:b/>
          <w:bCs/>
          <w:sz w:val="22"/>
          <w:szCs w:val="22"/>
        </w:rPr>
        <w:t>Aufbau des Tools</w:t>
      </w:r>
    </w:p>
    <w:p>
      <w:pPr>
        <w:pStyle w:val="ListParagraph"/>
        <w:widowControl w:val="false"/>
        <w:numPr>
          <w:ilvl w:val="0"/>
          <w:numId w:val="1"/>
        </w:numPr>
        <w:spacing w:lineRule="auto" w:line="276" w:before="0" w:after="120"/>
        <w:contextualSpacing/>
        <w:jc w:val="both"/>
        <w:rPr>
          <w:rFonts w:ascii="Arial" w:hAnsi="Arial"/>
        </w:rPr>
      </w:pPr>
      <w:r>
        <w:rPr>
          <w:rFonts w:ascii="Arial" w:hAnsi="Arial"/>
          <w:b/>
          <w:bCs/>
        </w:rPr>
        <w:t>Projekt anlegen:</w:t>
      </w:r>
      <w:r>
        <w:rPr>
          <w:rFonts w:ascii="Arial" w:hAnsi="Arial"/>
        </w:rPr>
        <w:t xml:space="preserve"> Zu Beginn zeichnen die Nutzerinnen und Nutzer ihr Projektgebiet in einer Kartenanwendung ein und können bestehende Planungen oder Karten im Geodatenformat hochladen. </w:t>
      </w:r>
    </w:p>
    <w:p>
      <w:pPr>
        <w:pStyle w:val="ListParagraph"/>
        <w:widowControl w:val="false"/>
        <w:numPr>
          <w:ilvl w:val="0"/>
          <w:numId w:val="1"/>
        </w:numPr>
        <w:spacing w:lineRule="auto" w:line="276" w:before="0" w:after="120"/>
        <w:contextualSpacing/>
        <w:jc w:val="both"/>
        <w:rPr>
          <w:rFonts w:ascii="Arial" w:hAnsi="Arial"/>
        </w:rPr>
      </w:pPr>
      <w:r>
        <w:rPr>
          <w:rFonts w:ascii="Arial" w:hAnsi="Arial"/>
          <w:b/>
          <w:bCs/>
        </w:rPr>
        <w:t xml:space="preserve">Modul 1 </w:t>
      </w:r>
      <w:r>
        <w:rPr>
          <w:rFonts w:ascii="Arial" w:hAnsi="Arial"/>
        </w:rPr>
        <w:t xml:space="preserve">dient der </w:t>
      </w:r>
      <w:r>
        <w:rPr>
          <w:rFonts w:ascii="Arial" w:hAnsi="Arial"/>
          <w:b/>
          <w:bCs/>
        </w:rPr>
        <w:t>Identifizierung von Handlungsbedarfen</w:t>
      </w:r>
      <w:r>
        <w:rPr>
          <w:rFonts w:ascii="Arial" w:hAnsi="Arial"/>
        </w:rPr>
        <w:t>. Verschiedene Karten zu den Themen Starkregen, Hitze, Gewässerbelastung, Versiegelung und Wasserhaushalt helfen einzuschätzen, welche Themen im Projektgebiet relevant sind und wo sie räumlich auftreten. Am Ende steht eine Übersicht der wichtigsten Handlungsbedarfe.</w:t>
      </w:r>
    </w:p>
    <w:p>
      <w:pPr>
        <w:pStyle w:val="ListParagraph"/>
        <w:widowControl w:val="false"/>
        <w:numPr>
          <w:ilvl w:val="0"/>
          <w:numId w:val="1"/>
        </w:numPr>
        <w:spacing w:lineRule="auto" w:line="276" w:before="0" w:after="120"/>
        <w:contextualSpacing/>
        <w:jc w:val="both"/>
        <w:rPr>
          <w:rFonts w:ascii="Arial" w:hAnsi="Arial"/>
        </w:rPr>
      </w:pPr>
      <w:r>
        <w:rPr>
          <w:rFonts w:ascii="Arial" w:hAnsi="Arial"/>
          <w:b/>
          <w:bCs/>
        </w:rPr>
        <w:t xml:space="preserve">Modul 2 </w:t>
      </w:r>
      <w:r>
        <w:rPr>
          <w:rFonts w:ascii="Arial" w:hAnsi="Arial"/>
        </w:rPr>
        <w:t xml:space="preserve">beleuchtet </w:t>
      </w:r>
      <w:r>
        <w:rPr>
          <w:rFonts w:ascii="Arial" w:hAnsi="Arial"/>
          <w:b/>
          <w:bCs/>
        </w:rPr>
        <w:t>Machbarkeiten und Potenziale</w:t>
      </w:r>
      <w:r>
        <w:rPr>
          <w:rFonts w:ascii="Arial" w:hAnsi="Arial"/>
        </w:rPr>
        <w:t>. Nutzerinnen und Nutzer werten Potenzialkarten (z. B.; Versickerungspotenziale) und Karten zu planungsrelevanten Faktoren (z. B. Denkmalschutz) aus, um ein realistisches Bild davon zu erhalten, welche Maßnahmen möglich sind.</w:t>
      </w:r>
    </w:p>
    <w:p>
      <w:pPr>
        <w:pStyle w:val="ListParagraph"/>
        <w:widowControl w:val="false"/>
        <w:numPr>
          <w:ilvl w:val="0"/>
          <w:numId w:val="1"/>
        </w:numPr>
        <w:spacing w:lineRule="auto" w:line="276" w:before="0" w:after="120"/>
        <w:contextualSpacing/>
        <w:jc w:val="both"/>
        <w:rPr>
          <w:rFonts w:ascii="Arial" w:hAnsi="Arial"/>
        </w:rPr>
      </w:pPr>
      <w:r>
        <w:rPr>
          <w:rFonts w:ascii="Arial" w:hAnsi="Arial"/>
          <w:b/>
          <w:bCs/>
        </w:rPr>
        <w:t xml:space="preserve">Modul 3 </w:t>
      </w:r>
      <w:r>
        <w:rPr>
          <w:rFonts w:ascii="Arial" w:hAnsi="Arial"/>
        </w:rPr>
        <w:t xml:space="preserve">ermöglicht eine erste </w:t>
      </w:r>
      <w:r>
        <w:rPr>
          <w:rFonts w:ascii="Arial" w:hAnsi="Arial"/>
          <w:b/>
          <w:bCs/>
        </w:rPr>
        <w:t>Planung und Effektbewertung von Maßnahmen</w:t>
      </w:r>
      <w:r>
        <w:rPr>
          <w:rFonts w:ascii="Arial" w:hAnsi="Arial"/>
        </w:rPr>
        <w:t xml:space="preserve">. Auf Grundlage der Ergebnisse aus den ersten beiden Modulen können die Nutzerinnen und Nutzer in diesem Schritt Maßnahmen der blau-grünen Infrastruktur im Projektgebiet platzieren. Dafür steht ein Katalog mit Maßnahmen zur Verfügung, die in Steckbriefen beschrieben sind. Gleichzeitig bewertet der BGI-Planer die Wirkung der Planung auf den Wasserhaushalt (über das Modell ABIMO) sowie auf die Gewässerbelastung. </w:t>
      </w:r>
      <w:r>
        <w:rPr>
          <w:rFonts w:cs="Arial" w:ascii="Arial" w:hAnsi="Arial"/>
          <w:shd w:fill="FFFFFF" w:val="clear"/>
        </w:rPr>
        <w:t xml:space="preserve">Zusätzlich werden vorberechnete Modellszenarien zu den Themen Hitze und Starkregen angezeigt, mit denen die </w:t>
      </w:r>
      <w:r>
        <w:rPr>
          <w:rFonts w:ascii="Arial" w:hAnsi="Arial"/>
        </w:rPr>
        <w:t xml:space="preserve">Nutzerinnen und Nutzer </w:t>
      </w:r>
      <w:r>
        <w:rPr>
          <w:rFonts w:cs="Arial" w:ascii="Arial" w:hAnsi="Arial"/>
          <w:shd w:fill="FFFFFF" w:val="clear"/>
        </w:rPr>
        <w:t xml:space="preserve">die Effekte ihrer Planung abschätzen können. </w:t>
      </w:r>
      <w:r>
        <w:rPr>
          <w:rFonts w:ascii="Arial" w:hAnsi="Arial"/>
        </w:rPr>
        <w:t>Die Effektbewertungen basieren auf Modellierungen aus dem Projekt SmartWater.</w:t>
      </w:r>
    </w:p>
    <w:p>
      <w:pPr>
        <w:pStyle w:val="Normal"/>
        <w:widowControl w:val="false"/>
        <w:spacing w:lineRule="auto" w:line="276" w:before="0" w:after="120"/>
        <w:jc w:val="both"/>
        <w:rPr>
          <w:rFonts w:ascii="Arial" w:hAnsi="Arial"/>
        </w:rPr>
      </w:pPr>
      <w:r>
        <w:rPr/>
        <w:drawing>
          <wp:inline distT="0" distB="0" distL="0" distR="0">
            <wp:extent cx="5760085" cy="2156460"/>
            <wp:effectExtent l="0" t="0" r="0" b="0"/>
            <wp:docPr id="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3"/>
                    <pic:cNvPicPr>
                      <a:picLocks noChangeAspect="1" noChangeArrowheads="1"/>
                    </pic:cNvPicPr>
                  </pic:nvPicPr>
                  <pic:blipFill>
                    <a:blip r:embed="rId4"/>
                    <a:stretch>
                      <a:fillRect/>
                    </a:stretch>
                  </pic:blipFill>
                  <pic:spPr bwMode="auto">
                    <a:xfrm>
                      <a:off x="0" y="0"/>
                      <a:ext cx="5760085" cy="2156460"/>
                    </a:xfrm>
                    <a:prstGeom prst="rect">
                      <a:avLst/>
                    </a:prstGeom>
                    <a:noFill/>
                  </pic:spPr>
                </pic:pic>
              </a:graphicData>
            </a:graphic>
          </wp:inline>
        </w:drawing>
      </w:r>
    </w:p>
    <w:p>
      <w:pPr>
        <w:pStyle w:val="Abbildunguser"/>
        <w:spacing w:lineRule="auto" w:line="240"/>
        <w:rPr>
          <w:color w:val="auto"/>
        </w:rPr>
      </w:pPr>
      <w:r>
        <w:rPr>
          <w:color w:val="auto"/>
        </w:rPr>
        <w:t>Abb. 1: Grafische Darstellung zum Aufbau des Blau-Grünen Infrastrukturplaners (eigene Darstellung)</w:t>
      </w:r>
    </w:p>
    <w:p>
      <w:pPr>
        <w:pStyle w:val="Normal"/>
        <w:widowControl w:val="false"/>
        <w:spacing w:lineRule="auto" w:line="276" w:before="0" w:after="120"/>
        <w:jc w:val="both"/>
        <w:rPr>
          <w:rFonts w:ascii="Arial" w:hAnsi="Arial"/>
        </w:rPr>
      </w:pPr>
      <w:r>
        <w:rPr>
          <w:rFonts w:ascii="Arial" w:hAnsi="Arial"/>
        </w:rPr>
      </w:r>
    </w:p>
    <w:p>
      <w:pPr>
        <w:pStyle w:val="Heading2"/>
        <w:rPr/>
      </w:pPr>
      <w:r>
        <w:rPr/>
        <w:t>Datengrundlage</w:t>
      </w:r>
    </w:p>
    <w:p>
      <w:pPr>
        <w:pStyle w:val="Normal"/>
        <w:rPr>
          <w:rFonts w:ascii="Arial" w:hAnsi="Arial" w:cs="Arial"/>
          <w:shd w:fill="FFFFFF" w:val="clear"/>
        </w:rPr>
      </w:pPr>
      <w:r>
        <w:rPr>
          <w:rFonts w:cs="Arial" w:ascii="Arial" w:hAnsi="Arial"/>
          <w:shd w:fill="FFFFFF" w:val="clear"/>
        </w:rPr>
        <w:t xml:space="preserve">Der BGI-Planer stellt Karten aus dem Berliner Umweltatlas und den Planungshinweisen Stadtklima zusammen, die für die Planung blau-grüner Infrastruktur relevant sind. Teilweise wurden neue Karten erstellt oder existierende Karten in ihrer Darstellung angepasst. Die Effektbewertung der Planungen, die im BGI-Planer erstellt werden, basieren auf Modellierungen des Kompetenzzentrums Wasser Berlin (KWB) und den Berliner Wasserbetrieben (BWB). </w:t>
      </w:r>
    </w:p>
    <w:p>
      <w:pPr>
        <w:pStyle w:val="Normal"/>
        <w:rPr>
          <w:rFonts w:ascii="Arial" w:hAnsi="Arial" w:cs="Arial"/>
          <w:shd w:fill="FFFFFF" w:val="clear"/>
        </w:rPr>
      </w:pPr>
      <w:r>
        <w:rPr>
          <w:rFonts w:cs="Arial" w:ascii="Arial" w:hAnsi="Arial"/>
          <w:shd w:fill="FFFFFF" w:val="clear"/>
        </w:rPr>
      </w:r>
    </w:p>
    <w:p>
      <w:pPr>
        <w:pStyle w:val="Normal"/>
        <w:rPr>
          <w:rFonts w:ascii="Arial" w:hAnsi="Arial" w:cs="Arial"/>
          <w:shd w:fill="FFFFFF" w:val="clear"/>
        </w:rPr>
      </w:pPr>
      <w:r>
        <w:rPr>
          <w:rFonts w:cs="Arial" w:ascii="Arial" w:hAnsi="Arial"/>
          <w:shd w:fill="FFFFFF" w:val="clear"/>
        </w:rPr>
        <w:t>Der BGI-Planer ist eine Open-Source-Anwendung. Der Code ist hier auffindbar: https://github.com/technologiestiftung/smartwater-bgi-planer</w:t>
      </w:r>
    </w:p>
    <w:p>
      <w:pPr>
        <w:pStyle w:val="Normal"/>
        <w:rPr>
          <w:rFonts w:ascii="Arial" w:hAnsi="Arial" w:cs="Arial"/>
        </w:rPr>
      </w:pPr>
      <w:r>
        <w:rPr>
          <w:rFonts w:cs="Arial" w:ascii="Arial" w:hAnsi="Arial"/>
          <w:shd w:fill="FFFFFF" w:val="clear"/>
        </w:rPr>
        <w:t xml:space="preserve">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shd w:fill="FFFFFF" w:val="clear"/>
        </w:rPr>
        <w:t>Folgende Karten sind im BGI-Planer eingebunden:</w:t>
      </w:r>
    </w:p>
    <w:p>
      <w:pPr>
        <w:pStyle w:val="ListParagraph"/>
        <w:numPr>
          <w:ilvl w:val="0"/>
          <w:numId w:val="10"/>
        </w:numPr>
        <w:rPr>
          <w:rFonts w:ascii="Arial" w:hAnsi="Arial" w:cs="Arial"/>
          <w:shd w:fill="FFFFFF" w:val="clear"/>
        </w:rPr>
      </w:pPr>
      <w:r>
        <w:rPr>
          <w:rFonts w:cs="Arial" w:ascii="Arial" w:hAnsi="Arial"/>
          <w:shd w:fill="FFFFFF" w:val="clear"/>
        </w:rPr>
        <w:t xml:space="preserve">Entsorgung von Regen- und Abwasser 2022 (Umweltatlas)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"/metadata/b36ac611-ff31-4904-8df7-09fe417057df"</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Gew</w:t>
      </w:r>
      <w:r>
        <w:rPr>
          <w:rFonts w:cs="Arial" w:hint="eastAsia" w:ascii="Arial" w:hAnsi="Arial"/>
          <w:shd w:fill="FFFFFF" w:val="clear"/>
        </w:rPr>
        <w:t>ä</w:t>
      </w:r>
      <w:r>
        <w:rPr>
          <w:rFonts w:cs="Arial" w:ascii="Arial" w:hAnsi="Arial"/>
          <w:shd w:fill="FFFFFF" w:val="clear"/>
        </w:rPr>
        <w:t xml:space="preserve">sserkarte 2023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"/metadata/80ec578b-a205-385e-9a83-e3b4b11b3e40"</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 xml:space="preserve">Klimabewertungskarten 2022 (Umweltatlas)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"/metadata/d002e10f-d745-49e5-98b1-bde00700f4e4"</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 xml:space="preserve">Klimaanalysekarten 2022 (Umweltatlas)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"/metadata/8ea601b2-9a12-4123-bb19-b5774fe3003b"</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 xml:space="preserve">Starkregenhinweiskarte 02/2025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"/metadata/fb5bcb65-6dcc-475b-8a37-c023ce19203b"</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 xml:space="preserve">Starkregengefahrenkarte 07/2026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"/metadata/41028a9c-0d6e-4a7d-9bfd-0ddf9df834de"</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Starkregengef</w:t>
      </w:r>
      <w:r>
        <w:rPr>
          <w:rFonts w:cs="Arial" w:hint="eastAsia" w:ascii="Arial" w:hAnsi="Arial"/>
          <w:shd w:fill="FFFFFF" w:val="clear"/>
        </w:rPr>
        <w:t>ä</w:t>
      </w:r>
      <w:r>
        <w:rPr>
          <w:rFonts w:cs="Arial" w:ascii="Arial" w:hAnsi="Arial"/>
          <w:shd w:fill="FFFFFF" w:val="clear"/>
        </w:rPr>
        <w:t>hrdungsstufen 2026</w:t>
      </w:r>
    </w:p>
    <w:p>
      <w:pPr>
        <w:pStyle w:val="ListParagraph"/>
        <w:numPr>
          <w:ilvl w:val="0"/>
          <w:numId w:val="10"/>
        </w:numPr>
        <w:rPr>
          <w:rFonts w:ascii="Arial" w:hAnsi="Arial" w:cs="Arial"/>
          <w:shd w:fill="FFFFFF" w:val="clear"/>
        </w:rPr>
      </w:pPr>
      <w:r>
        <w:rPr>
          <w:rFonts w:cs="Arial" w:ascii="Arial" w:hAnsi="Arial"/>
          <w:shd w:fill="FFFFFF" w:val="clear"/>
        </w:rPr>
        <w:t xml:space="preserve">Versiegelung 2021 (Umweltatlas)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"/metadata/2c8a769b-364e-4596-ace4-4c05cd8eb872"</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Gr</w:t>
      </w:r>
      <w:r>
        <w:rPr>
          <w:rFonts w:cs="Arial" w:hint="eastAsia" w:ascii="Arial" w:hAnsi="Arial"/>
          <w:shd w:fill="FFFFFF" w:val="clear"/>
        </w:rPr>
        <w:t>ü</w:t>
      </w:r>
      <w:r>
        <w:rPr>
          <w:rFonts w:cs="Arial" w:ascii="Arial" w:hAnsi="Arial"/>
          <w:shd w:fill="FFFFFF" w:val="clear"/>
        </w:rPr>
        <w:t xml:space="preserve">nvolumen 2020 (Umweltatlas)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"/metadata/0673c86e-9950-4502-97b6-f5d3c2d0564f"</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 xml:space="preserve">Wasserhaushalt 2022 (Umweltatlas)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"/metadata/08e12768-0bc1-41c0-a8d2-0b2d78c596e0"</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 xml:space="preserve">Denkmalkarte Berlin 06/2026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"/metadata/65b2f04e-2e8c-393f-a848-b7d696508f1a"</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 xml:space="preserve">Potenziale der dezentralen Regenwasserbewirtschaftung 2024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"/metadata/4b84fdbc-ac77-48ef-a1ec-4f7c75c777d3"</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Fl</w:t>
      </w:r>
      <w:r>
        <w:rPr>
          <w:rFonts w:cs="Arial" w:hint="eastAsia" w:ascii="Arial" w:hAnsi="Arial"/>
          <w:shd w:fill="FFFFFF" w:val="clear"/>
        </w:rPr>
        <w:t>ä</w:t>
      </w:r>
      <w:r>
        <w:rPr>
          <w:rFonts w:cs="Arial" w:ascii="Arial" w:hAnsi="Arial"/>
          <w:shd w:fill="FFFFFF" w:val="clear"/>
        </w:rPr>
        <w:t>chenpotenziale f</w:t>
      </w:r>
      <w:r>
        <w:rPr>
          <w:rFonts w:cs="Arial" w:hint="eastAsia" w:ascii="Arial" w:hAnsi="Arial"/>
          <w:shd w:fill="FFFFFF" w:val="clear"/>
        </w:rPr>
        <w:t>ü</w:t>
      </w:r>
      <w:r>
        <w:rPr>
          <w:rFonts w:cs="Arial" w:ascii="Arial" w:hAnsi="Arial"/>
          <w:shd w:fill="FFFFFF" w:val="clear"/>
        </w:rPr>
        <w:t>r dezentrale Versickerungsma</w:t>
      </w:r>
      <w:r>
        <w:rPr>
          <w:rFonts w:cs="Arial" w:hint="eastAsia" w:ascii="Arial" w:hAnsi="Arial"/>
          <w:shd w:fill="FFFFFF" w:val="clear"/>
        </w:rPr>
        <w:t>ß</w:t>
      </w:r>
      <w:r>
        <w:rPr>
          <w:rFonts w:cs="Arial" w:ascii="Arial" w:hAnsi="Arial"/>
          <w:shd w:fill="FFFFFF" w:val="clear"/>
        </w:rPr>
        <w:t>nahmen 20</w:t>
      </w:r>
      <w:r>
        <w:rPr>
          <w:rFonts w:cs="Arial" w:ascii="Arial" w:hAnsi="Arial"/>
          <w:shd w:fill="FFFFFF" w:val="clear"/>
        </w:rPr>
        <w:t>19</w:t>
      </w:r>
      <w:r>
        <w:rPr>
          <w:rFonts w:cs="Arial" w:ascii="Arial" w:hAnsi="Arial"/>
          <w:shd w:fill="FFFFFF" w:val="clear"/>
        </w:rPr>
        <w:t xml:space="preserve">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"/metadata/824441cb-3c4d-4647-ba26-9b6cdbf10aad"</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 xml:space="preserve">Baumbestand Berlin 2024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"/metadata/3368004a-d596-336a-8fdf-c4391f3313dd"</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 xml:space="preserve">Geologische Bohrdaten 2023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"/metadata/bb30f2e3-f41e-3d60-972b-3b9240fac94a"</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 xml:space="preserve">ALKIS Berlin 2025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"/metadata/0a7c53a5-b29d-3f45-9734-1c811045e6c2"</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rFonts w:ascii="Arial" w:hAnsi="Arial" w:cs="Arial"/>
          <w:shd w:fill="FFFFFF" w:val="clear"/>
        </w:rPr>
      </w:pPr>
      <w:r>
        <w:rPr>
          <w:rFonts w:cs="Arial" w:ascii="Arial" w:hAnsi="Arial"/>
          <w:shd w:fill="FFFFFF" w:val="clear"/>
        </w:rPr>
        <w:t xml:space="preserve">Wasserschutzgebiete 2009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"/metadata/577270ae-d249-3244-bab7-d265797e941b"</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ListParagraph"/>
        <w:numPr>
          <w:ilvl w:val="0"/>
          <w:numId w:val="10"/>
        </w:numPr>
        <w:rPr/>
      </w:pPr>
      <w:r>
        <w:rPr>
          <w:rFonts w:cs="Arial" w:ascii="Arial" w:hAnsi="Arial"/>
          <w:shd w:fill="FFFFFF" w:val="clear"/>
        </w:rPr>
        <w:t>Stra</w:t>
      </w:r>
      <w:r>
        <w:rPr>
          <w:rFonts w:cs="Arial" w:hint="eastAsia" w:ascii="Arial" w:hAnsi="Arial"/>
          <w:shd w:fill="FFFFFF" w:val="clear"/>
        </w:rPr>
        <w:t>ß</w:t>
      </w:r>
      <w:r>
        <w:rPr>
          <w:rFonts w:cs="Arial" w:ascii="Arial" w:hAnsi="Arial"/>
          <w:shd w:fill="FFFFFF" w:val="clear"/>
        </w:rPr>
        <w:t xml:space="preserve">enbefahrung 2014 </w:t>
      </w:r>
      <w:r>
        <w:rPr>
          <w:rFonts w:cs="Arial" w:ascii="Arial" w:hAnsi="Arial"/>
          <w:shd w:fill="FFFFFF" w:val="clear"/>
        </w:rPr>
        <w:t xml:space="preserve">(siehe </w:t>
      </w:r>
      <w:r>
        <w:fldChar w:fldCharType="begin"/>
      </w:r>
      <w:r>
        <w:rPr>
          <w:rStyle w:val="Hyperlink"/>
          <w:rFonts w:cs="Arial" w:ascii="Arial" w:hAnsi="Arial"/>
          <w:shd w:fill="FFFFFF" w:val="clear"/>
        </w:rPr>
        <w:instrText xml:space="preserve"> HYPERLINK "https://gdi.berlin.de/geonetwork/srv/ger/catalog.search" \l "/metadata/7a97a60b-2c8f-3bb6-905c-66d26ee0a52a"</w:instrText>
      </w:r>
      <w:r>
        <w:rPr>
          <w:rStyle w:val="Hyperlink"/>
          <w:rFonts w:cs="Arial" w:ascii="Arial" w:hAnsi="Arial"/>
          <w:shd w:fill="FFFFFF" w:val="clear"/>
        </w:rPr>
        <w:fldChar w:fldCharType="separate"/>
      </w:r>
      <w:r>
        <w:rPr>
          <w:rStyle w:val="Hyperlink"/>
          <w:rFonts w:cs="Arial" w:ascii="Arial" w:hAnsi="Arial"/>
          <w:shd w:fill="FFFFFF" w:val="clear"/>
        </w:rPr>
        <w:t>Geodatensuche Berlin</w:t>
      </w:r>
      <w:r>
        <w:rPr>
          <w:rStyle w:val="Hyperlink"/>
          <w:rFonts w:cs="Arial" w:ascii="Arial" w:hAnsi="Arial"/>
          <w:shd w:fill="FFFFFF" w:val="clear"/>
        </w:rPr>
        <w:fldChar w:fldCharType="end"/>
      </w:r>
      <w:r>
        <w:rPr>
          <w:rFonts w:cs="Arial" w:ascii="Arial" w:hAnsi="Arial"/>
          <w:shd w:fill="FFFFFF" w:val="clear"/>
        </w:rPr>
        <w:t>)</w:t>
      </w:r>
    </w:p>
    <w:p>
      <w:pPr>
        <w:pStyle w:val="Normal"/>
        <w:rPr/>
      </w:pPr>
      <w:r>
        <w:rPr/>
      </w:r>
    </w:p>
    <w:p>
      <w:pPr>
        <w:pStyle w:val="Heading2"/>
        <w:rPr/>
      </w:pPr>
      <w:r>
        <w:rPr/>
        <w:t>Methode</w:t>
      </w:r>
    </w:p>
    <w:p>
      <w:pPr>
        <w:pStyle w:val="Normal"/>
        <w:widowControl w:val="false"/>
        <w:spacing w:before="0" w:after="120"/>
        <w:jc w:val="both"/>
        <w:rPr>
          <w:rFonts w:ascii="Arial" w:hAnsi="Arial"/>
        </w:rPr>
      </w:pPr>
      <w:r>
        <w:rPr>
          <w:rFonts w:ascii="Arial" w:hAnsi="Arial"/>
        </w:rPr>
        <w:t>Der BGI-Planer st</w:t>
      </w:r>
      <w:r>
        <w:rPr>
          <w:rFonts w:hint="eastAsia" w:ascii="Arial" w:hAnsi="Arial"/>
        </w:rPr>
        <w:t>ü</w:t>
      </w:r>
      <w:r>
        <w:rPr>
          <w:rFonts w:ascii="Arial" w:hAnsi="Arial"/>
        </w:rPr>
        <w:t>tzt sich auf vier unterschiedliche Modellierungsans</w:t>
      </w:r>
      <w:r>
        <w:rPr>
          <w:rFonts w:hint="eastAsia" w:ascii="Arial" w:hAnsi="Arial"/>
        </w:rPr>
        <w:t>ä</w:t>
      </w:r>
      <w:r>
        <w:rPr>
          <w:rFonts w:ascii="Arial" w:hAnsi="Arial"/>
        </w:rPr>
        <w:t>tze, um die Wirkung blau-gr</w:t>
      </w:r>
      <w:r>
        <w:rPr>
          <w:rFonts w:hint="eastAsia" w:ascii="Arial" w:hAnsi="Arial"/>
        </w:rPr>
        <w:t>ü</w:t>
      </w:r>
      <w:r>
        <w:rPr>
          <w:rFonts w:ascii="Arial" w:hAnsi="Arial"/>
        </w:rPr>
        <w:t>ner Infrastrukturma</w:t>
      </w:r>
      <w:r>
        <w:rPr>
          <w:rFonts w:hint="eastAsia" w:ascii="Arial" w:hAnsi="Arial"/>
        </w:rPr>
        <w:t>ß</w:t>
      </w:r>
      <w:r>
        <w:rPr>
          <w:rFonts w:ascii="Arial" w:hAnsi="Arial"/>
        </w:rPr>
        <w:t>nahmen auf Starkregen, Stadtklima, Wasserhaushalt und Gew</w:t>
      </w:r>
      <w:r>
        <w:rPr>
          <w:rFonts w:hint="eastAsia" w:ascii="Arial" w:hAnsi="Arial"/>
        </w:rPr>
        <w:t>ä</w:t>
      </w:r>
      <w:r>
        <w:rPr>
          <w:rFonts w:ascii="Arial" w:hAnsi="Arial"/>
        </w:rPr>
        <w:t>sserqualit</w:t>
      </w:r>
      <w:r>
        <w:rPr>
          <w:rFonts w:hint="eastAsia" w:ascii="Arial" w:hAnsi="Arial"/>
        </w:rPr>
        <w:t>ä</w:t>
      </w:r>
      <w:r>
        <w:rPr>
          <w:rFonts w:ascii="Arial" w:hAnsi="Arial"/>
        </w:rPr>
        <w:t xml:space="preserve">t zu bewerten. Dabei wurden zwei Ansätze gewählt: A) </w:t>
      </w:r>
      <w:r>
        <w:rPr>
          <w:rFonts w:ascii="Arial" w:hAnsi="Arial"/>
          <w:i/>
          <w:iCs/>
        </w:rPr>
        <w:t>Referenzmodellierungen</w:t>
      </w:r>
      <w:r>
        <w:rPr>
          <w:rFonts w:ascii="Arial" w:hAnsi="Arial"/>
        </w:rPr>
        <w:t xml:space="preserve">: Die Starkregen- und Stadtklima-Modellierungen sind vorberechnet und können als Orientierungswerte für die Bewertung der eigenen Planung genutzt werden. B) </w:t>
      </w:r>
      <w:r>
        <w:rPr>
          <w:rFonts w:ascii="Arial" w:hAnsi="Arial"/>
          <w:i/>
          <w:iCs/>
        </w:rPr>
        <w:t>Live-Modellierungen</w:t>
      </w:r>
      <w:r>
        <w:rPr>
          <w:rFonts w:ascii="Arial" w:hAnsi="Arial"/>
        </w:rPr>
        <w:t xml:space="preserve">: Die Wasserhaushalts- und Gewässerbelastungs-Modellierungen werden live basierend auf der im BGI-Planer eingezeichneten Maßnahmen berechnet. </w:t>
      </w:r>
    </w:p>
    <w:p>
      <w:pPr>
        <w:pStyle w:val="Normal"/>
        <w:widowControl w:val="false"/>
        <w:spacing w:before="0" w:after="120"/>
        <w:jc w:val="both"/>
        <w:rPr>
          <w:rFonts w:ascii="Arial" w:hAnsi="Arial"/>
          <w:b/>
          <w:bCs/>
        </w:rPr>
      </w:pPr>
      <w:r>
        <w:rPr>
          <w:rFonts w:ascii="Arial" w:hAnsi="Arial"/>
          <w:b/>
          <w:bCs/>
        </w:rPr>
        <w:t>Wichtig ist zu betonen, dass die Effektbewertung nur eine erste Einschätzung liefert und kein Fachgutachten ersetzen kann.</w:t>
      </w:r>
    </w:p>
    <w:p>
      <w:pPr>
        <w:pStyle w:val="Normal"/>
        <w:widowControl w:val="false"/>
        <w:spacing w:before="0" w:after="120"/>
        <w:jc w:val="both"/>
        <w:rPr>
          <w:rFonts w:ascii="Arial" w:hAnsi="Arial"/>
          <w:bCs/>
          <w:i/>
        </w:rPr>
      </w:pPr>
      <w:r>
        <w:rPr>
          <w:rFonts w:ascii="Arial" w:hAnsi="Arial"/>
          <w:i/>
          <w:iCs/>
        </w:rPr>
        <w:t xml:space="preserve">Referenzmodellierungen: </w:t>
      </w:r>
    </w:p>
    <w:p>
      <w:pPr>
        <w:pStyle w:val="ListParagraph"/>
        <w:widowControl w:val="false"/>
        <w:numPr>
          <w:ilvl w:val="0"/>
          <w:numId w:val="8"/>
        </w:numPr>
        <w:spacing w:before="0" w:after="120"/>
        <w:contextualSpacing/>
        <w:jc w:val="both"/>
        <w:rPr>
          <w:rFonts w:ascii="Arial" w:hAnsi="Arial"/>
        </w:rPr>
      </w:pPr>
      <w:r>
        <w:rPr>
          <w:rFonts w:ascii="Arial" w:hAnsi="Arial"/>
        </w:rPr>
        <w:t>Die Starkregenmodellierung basiert auf einem gekoppelten 1D-2D-Modellansatz in InfoWorks ICM, der das Kanalnetz der BWB mit der Oberfl</w:t>
      </w:r>
      <w:r>
        <w:rPr>
          <w:rFonts w:hint="eastAsia" w:ascii="Arial" w:hAnsi="Arial"/>
        </w:rPr>
        <w:t>ä</w:t>
      </w:r>
      <w:r>
        <w:rPr>
          <w:rFonts w:ascii="Arial" w:hAnsi="Arial"/>
        </w:rPr>
        <w:t>chenabflussberechnung f</w:t>
      </w:r>
      <w:r>
        <w:rPr>
          <w:rFonts w:hint="eastAsia" w:ascii="Arial" w:hAnsi="Arial"/>
        </w:rPr>
        <w:t>ü</w:t>
      </w:r>
      <w:r>
        <w:rPr>
          <w:rFonts w:ascii="Arial" w:hAnsi="Arial"/>
        </w:rPr>
        <w:t>r ein rund 4,5 km</w:t>
      </w:r>
      <w:r>
        <w:rPr>
          <w:rFonts w:hint="eastAsia" w:ascii="Arial" w:hAnsi="Arial"/>
        </w:rPr>
        <w:t>²</w:t>
      </w:r>
      <w:r>
        <w:rPr>
          <w:rFonts w:ascii="Arial" w:hAnsi="Arial"/>
        </w:rPr>
        <w:t xml:space="preserve"> gro</w:t>
      </w:r>
      <w:r>
        <w:rPr>
          <w:rFonts w:hint="eastAsia" w:ascii="Arial" w:hAnsi="Arial"/>
        </w:rPr>
        <w:t>ß</w:t>
      </w:r>
      <w:r>
        <w:rPr>
          <w:rFonts w:ascii="Arial" w:hAnsi="Arial"/>
        </w:rPr>
        <w:t>es Gebiet in Friedrichshain-Kreuzberg verkn</w:t>
      </w:r>
      <w:r>
        <w:rPr>
          <w:rFonts w:hint="eastAsia" w:ascii="Arial" w:hAnsi="Arial"/>
        </w:rPr>
        <w:t>ü</w:t>
      </w:r>
      <w:r>
        <w:rPr>
          <w:rFonts w:ascii="Arial" w:hAnsi="Arial"/>
        </w:rPr>
        <w:t>pft (Einzugsgebiet 12). Dabei wurden neben dem Ist-Zustand verschiedene BGI-Umsetzungsgrade (25 </w:t>
      </w:r>
      <w:r>
        <w:rPr>
          <w:rFonts w:hint="eastAsia" w:ascii="Arial" w:hAnsi="Arial"/>
        </w:rPr>
        <w:t>–</w:t>
      </w:r>
      <w:r>
        <w:rPr>
          <w:rFonts w:ascii="Arial" w:hAnsi="Arial"/>
        </w:rPr>
        <w:t> 100 %) sowie Ma</w:t>
      </w:r>
      <w:r>
        <w:rPr>
          <w:rFonts w:hint="eastAsia" w:ascii="Arial" w:hAnsi="Arial"/>
        </w:rPr>
        <w:t>ß</w:t>
      </w:r>
      <w:r>
        <w:rPr>
          <w:rFonts w:ascii="Arial" w:hAnsi="Arial"/>
        </w:rPr>
        <w:t>nahmenkombinationen simuliert. Die Modellierungsergebnisse können in den Steckbriefen der Maßnahmen betrachtet werden. Die Ergebnisse können dann genutzt werden, um eine Abschätzung der Effektbewertung der eigenen Planung vorzunehmen.</w:t>
      </w:r>
    </w:p>
    <w:p>
      <w:pPr>
        <w:pStyle w:val="ListParagraph"/>
        <w:widowControl w:val="false"/>
        <w:numPr>
          <w:ilvl w:val="0"/>
          <w:numId w:val="8"/>
        </w:numPr>
        <w:spacing w:before="0" w:after="120"/>
        <w:contextualSpacing/>
        <w:jc w:val="both"/>
        <w:rPr>
          <w:rFonts w:ascii="Arial" w:hAnsi="Arial"/>
        </w:rPr>
      </w:pPr>
      <w:r>
        <w:rPr>
          <w:rFonts w:ascii="Arial" w:hAnsi="Arial"/>
        </w:rPr>
        <w:t>Die Stadtklimamodellierung erfolgte mit der Mikroklima-Software ENVI-met, die Wechselwirkungen zwischen Atmosph</w:t>
      </w:r>
      <w:r>
        <w:rPr>
          <w:rFonts w:hint="eastAsia" w:ascii="Arial" w:hAnsi="Arial"/>
        </w:rPr>
        <w:t>ä</w:t>
      </w:r>
      <w:r>
        <w:rPr>
          <w:rFonts w:ascii="Arial" w:hAnsi="Arial"/>
        </w:rPr>
        <w:t>re, Geb</w:t>
      </w:r>
      <w:r>
        <w:rPr>
          <w:rFonts w:hint="eastAsia" w:ascii="Arial" w:hAnsi="Arial"/>
        </w:rPr>
        <w:t>ä</w:t>
      </w:r>
      <w:r>
        <w:rPr>
          <w:rFonts w:ascii="Arial" w:hAnsi="Arial"/>
        </w:rPr>
        <w:t>uden, B</w:t>
      </w:r>
      <w:r>
        <w:rPr>
          <w:rFonts w:hint="eastAsia" w:ascii="Arial" w:hAnsi="Arial"/>
        </w:rPr>
        <w:t>ö</w:t>
      </w:r>
      <w:r>
        <w:rPr>
          <w:rFonts w:ascii="Arial" w:hAnsi="Arial"/>
        </w:rPr>
        <w:t>den und Vegetation f</w:t>
      </w:r>
      <w:r>
        <w:rPr>
          <w:rFonts w:hint="eastAsia" w:ascii="Arial" w:hAnsi="Arial"/>
        </w:rPr>
        <w:t>ü</w:t>
      </w:r>
      <w:r>
        <w:rPr>
          <w:rFonts w:ascii="Arial" w:hAnsi="Arial"/>
        </w:rPr>
        <w:t xml:space="preserve">r ein Teilgebiet des Ostkreuzkiezes um den Traveplatz abbildet. Die Modellerstellung aus Geodaten wurde dabei </w:t>
      </w:r>
      <w:r>
        <w:rPr>
          <w:rFonts w:hint="eastAsia" w:ascii="Arial" w:hAnsi="Arial"/>
        </w:rPr>
        <w:t>ü</w:t>
      </w:r>
      <w:r>
        <w:rPr>
          <w:rFonts w:ascii="Arial" w:hAnsi="Arial"/>
        </w:rPr>
        <w:t xml:space="preserve">ber ein QGIS-Plug-in realisiert, welches Vektordaten direkt in das ENVI-met-Format </w:t>
      </w:r>
      <w:r>
        <w:rPr>
          <w:rFonts w:hint="eastAsia" w:ascii="Arial" w:hAnsi="Arial"/>
        </w:rPr>
        <w:t>ü</w:t>
      </w:r>
      <w:r>
        <w:rPr>
          <w:rFonts w:ascii="Arial" w:hAnsi="Arial"/>
        </w:rPr>
        <w:t>berf</w:t>
      </w:r>
      <w:r>
        <w:rPr>
          <w:rFonts w:hint="eastAsia" w:ascii="Arial" w:hAnsi="Arial"/>
        </w:rPr>
        <w:t>ü</w:t>
      </w:r>
      <w:r>
        <w:rPr>
          <w:rFonts w:ascii="Arial" w:hAnsi="Arial"/>
        </w:rPr>
        <w:t>hrt. Die Modellierungsergebnisse können in den Steckbriefen der Maßnahmen betrachtet werden. Die Ergebnisse können dann genutzt werden, um eine Abschätzung der Effektbewertung der eigenen Planung vorzunehmen.</w:t>
      </w:r>
    </w:p>
    <w:p>
      <w:pPr>
        <w:pStyle w:val="Normal"/>
        <w:widowControl w:val="false"/>
        <w:spacing w:before="0" w:after="120"/>
        <w:jc w:val="both"/>
        <w:rPr>
          <w:rFonts w:ascii="Arial" w:hAnsi="Arial"/>
          <w:i/>
          <w:iCs/>
        </w:rPr>
      </w:pPr>
      <w:r>
        <w:rPr>
          <w:rFonts w:ascii="Arial" w:hAnsi="Arial"/>
          <w:i/>
          <w:iCs/>
        </w:rPr>
        <w:t>Live-Modellierungen:</w:t>
      </w:r>
    </w:p>
    <w:p>
      <w:pPr>
        <w:pStyle w:val="ListParagraph"/>
        <w:widowControl w:val="false"/>
        <w:numPr>
          <w:ilvl w:val="0"/>
          <w:numId w:val="8"/>
        </w:numPr>
        <w:spacing w:before="0" w:after="120"/>
        <w:contextualSpacing/>
        <w:jc w:val="both"/>
        <w:rPr>
          <w:rFonts w:ascii="Arial" w:hAnsi="Arial"/>
        </w:rPr>
      </w:pPr>
      <w:r>
        <w:rPr>
          <w:rFonts w:ascii="Arial" w:hAnsi="Arial"/>
        </w:rPr>
        <w:t>Die Wasserhaushaltsmodellierung im BGI-Planer erfolgt mithilfe des Open-Source-Modells ABIMO (Version 2.2.0). ABIMO berechnet auf Grundlage der Bagrov-Glugla-Methode f</w:t>
      </w:r>
      <w:r>
        <w:rPr>
          <w:rFonts w:hint="eastAsia" w:ascii="Arial" w:hAnsi="Arial"/>
        </w:rPr>
        <w:t>ü</w:t>
      </w:r>
      <w:r>
        <w:rPr>
          <w:rFonts w:ascii="Arial" w:hAnsi="Arial"/>
        </w:rPr>
        <w:t>r jede Blockteilfl</w:t>
      </w:r>
      <w:r>
        <w:rPr>
          <w:rFonts w:hint="eastAsia" w:ascii="Arial" w:hAnsi="Arial"/>
        </w:rPr>
        <w:t>ä</w:t>
      </w:r>
      <w:r>
        <w:rPr>
          <w:rFonts w:ascii="Arial" w:hAnsi="Arial"/>
        </w:rPr>
        <w:t>che die j</w:t>
      </w:r>
      <w:r>
        <w:rPr>
          <w:rFonts w:hint="eastAsia" w:ascii="Arial" w:hAnsi="Arial"/>
        </w:rPr>
        <w:t>ä</w:t>
      </w:r>
      <w:r>
        <w:rPr>
          <w:rFonts w:ascii="Arial" w:hAnsi="Arial"/>
        </w:rPr>
        <w:t>hrlichen Werte der drei zentralen Komponenten des Wasserhaushalts: Verdunstung, Versickerung und Oberfl</w:t>
      </w:r>
      <w:r>
        <w:rPr>
          <w:rFonts w:hint="eastAsia" w:ascii="Arial" w:hAnsi="Arial"/>
        </w:rPr>
        <w:t>ä</w:t>
      </w:r>
      <w:r>
        <w:rPr>
          <w:rFonts w:ascii="Arial" w:hAnsi="Arial"/>
        </w:rPr>
        <w:t xml:space="preserve">chenabfluss. Die Modellierungsergebnisse liefern eine erste Effektbewertung der im BGI-Planer vorgenommenen Maßnahmenplanung und können mit Klick auf die Schaltfläche unten links aufgerufen werden. </w:t>
      </w:r>
    </w:p>
    <w:p>
      <w:pPr>
        <w:pStyle w:val="ListParagraph"/>
        <w:widowControl w:val="false"/>
        <w:numPr>
          <w:ilvl w:val="0"/>
          <w:numId w:val="8"/>
        </w:numPr>
        <w:spacing w:before="0" w:after="120"/>
        <w:contextualSpacing/>
        <w:jc w:val="both"/>
        <w:rPr>
          <w:rFonts w:ascii="Arial" w:hAnsi="Arial"/>
        </w:rPr>
      </w:pPr>
      <w:r>
        <w:rPr>
          <w:rFonts w:ascii="Arial" w:hAnsi="Arial"/>
        </w:rPr>
        <w:t>Die Bewertung der Gew</w:t>
      </w:r>
      <w:r>
        <w:rPr>
          <w:rFonts w:hint="eastAsia" w:ascii="Arial" w:hAnsi="Arial"/>
        </w:rPr>
        <w:t>ä</w:t>
      </w:r>
      <w:r>
        <w:rPr>
          <w:rFonts w:ascii="Arial" w:hAnsi="Arial"/>
        </w:rPr>
        <w:t>sserbelastung basiert auf einer  Modellkette f</w:t>
      </w:r>
      <w:r>
        <w:rPr>
          <w:rFonts w:hint="eastAsia" w:ascii="Arial" w:hAnsi="Arial"/>
        </w:rPr>
        <w:t>ü</w:t>
      </w:r>
      <w:r>
        <w:rPr>
          <w:rFonts w:ascii="Arial" w:hAnsi="Arial"/>
        </w:rPr>
        <w:t>r das gesamte Berliner Mischwassersystem, bestehend aus einem Kanalnetzmodell in InfoWorks ICM, den Gew</w:t>
      </w:r>
      <w:r>
        <w:rPr>
          <w:rFonts w:hint="eastAsia" w:ascii="Arial" w:hAnsi="Arial"/>
        </w:rPr>
        <w:t>ä</w:t>
      </w:r>
      <w:r>
        <w:rPr>
          <w:rFonts w:ascii="Arial" w:hAnsi="Arial"/>
        </w:rPr>
        <w:t>ssermodellen GERRIS, HYDRAX und QSim sowie einem Bewertungssystem mit Kennwerten bez</w:t>
      </w:r>
      <w:r>
        <w:rPr>
          <w:rFonts w:hint="eastAsia" w:ascii="Arial" w:hAnsi="Arial"/>
        </w:rPr>
        <w:t>ü</w:t>
      </w:r>
      <w:r>
        <w:rPr>
          <w:rFonts w:ascii="Arial" w:hAnsi="Arial"/>
        </w:rPr>
        <w:t>glich der Sauerstoffkonzentration. . Die daraus abgeleiteten Zusammenh</w:t>
      </w:r>
      <w:r>
        <w:rPr>
          <w:rFonts w:hint="eastAsia" w:ascii="Arial" w:hAnsi="Arial"/>
        </w:rPr>
        <w:t>ä</w:t>
      </w:r>
      <w:r>
        <w:rPr>
          <w:rFonts w:ascii="Arial" w:hAnsi="Arial"/>
        </w:rPr>
        <w:t>nge zwischen Abflussreduktion, Mischwasser</w:t>
      </w:r>
      <w:r>
        <w:rPr>
          <w:rFonts w:hint="eastAsia" w:ascii="Arial" w:hAnsi="Arial"/>
        </w:rPr>
        <w:t>ü</w:t>
      </w:r>
      <w:r>
        <w:rPr>
          <w:rFonts w:ascii="Arial" w:hAnsi="Arial"/>
        </w:rPr>
        <w:t>berl</w:t>
      </w:r>
      <w:r>
        <w:rPr>
          <w:rFonts w:hint="eastAsia" w:ascii="Arial" w:hAnsi="Arial"/>
        </w:rPr>
        <w:t>ä</w:t>
      </w:r>
      <w:r>
        <w:rPr>
          <w:rFonts w:ascii="Arial" w:hAnsi="Arial"/>
        </w:rPr>
        <w:t xml:space="preserve">ufen und Sauerstoffkennwerten wurden in ein vereinfachtes Berechnungsmodell </w:t>
      </w:r>
      <w:r>
        <w:rPr>
          <w:rFonts w:hint="eastAsia" w:ascii="Arial" w:hAnsi="Arial"/>
        </w:rPr>
        <w:t>ü</w:t>
      </w:r>
      <w:r>
        <w:rPr>
          <w:rFonts w:ascii="Arial" w:hAnsi="Arial"/>
        </w:rPr>
        <w:t>berf</w:t>
      </w:r>
      <w:r>
        <w:rPr>
          <w:rFonts w:hint="eastAsia" w:ascii="Arial" w:hAnsi="Arial"/>
        </w:rPr>
        <w:t>ü</w:t>
      </w:r>
      <w:r>
        <w:rPr>
          <w:rFonts w:ascii="Arial" w:hAnsi="Arial"/>
        </w:rPr>
        <w:t>hrt, das eine direkte Absch</w:t>
      </w:r>
      <w:r>
        <w:rPr>
          <w:rFonts w:hint="eastAsia" w:ascii="Arial" w:hAnsi="Arial"/>
        </w:rPr>
        <w:t>ä</w:t>
      </w:r>
      <w:r>
        <w:rPr>
          <w:rFonts w:ascii="Arial" w:hAnsi="Arial"/>
        </w:rPr>
        <w:t>tzung der Gew</w:t>
      </w:r>
      <w:r>
        <w:rPr>
          <w:rFonts w:hint="eastAsia" w:ascii="Arial" w:hAnsi="Arial"/>
        </w:rPr>
        <w:t>ä</w:t>
      </w:r>
      <w:r>
        <w:rPr>
          <w:rFonts w:ascii="Arial" w:hAnsi="Arial"/>
        </w:rPr>
        <w:t>sserwirkung von BGI-Ma</w:t>
      </w:r>
      <w:r>
        <w:rPr>
          <w:rFonts w:hint="eastAsia" w:ascii="Arial" w:hAnsi="Arial"/>
        </w:rPr>
        <w:t>ß</w:t>
      </w:r>
      <w:r>
        <w:rPr>
          <w:rFonts w:ascii="Arial" w:hAnsi="Arial"/>
        </w:rPr>
        <w:t>nahmen im Planer erm</w:t>
      </w:r>
      <w:r>
        <w:rPr>
          <w:rFonts w:hint="eastAsia" w:ascii="Arial" w:hAnsi="Arial"/>
        </w:rPr>
        <w:t>ö</w:t>
      </w:r>
      <w:r>
        <w:rPr>
          <w:rFonts w:ascii="Arial" w:hAnsi="Arial"/>
        </w:rPr>
        <w:t>glicht. Die Modellierungsergebnisse liefern eine erste Effektbewertung der im BGI-Planer vorgenommenen Maßnahmenplanung und können mit Klick auf die Schaltfläche unten links aufgerufen werden.</w:t>
      </w:r>
    </w:p>
    <w:p>
      <w:pPr>
        <w:pStyle w:val="Normal"/>
        <w:widowControl w:val="false"/>
        <w:spacing w:before="0" w:after="120"/>
        <w:jc w:val="both"/>
        <w:rPr>
          <w:rFonts w:ascii="Arial" w:hAnsi="Arial"/>
        </w:rPr>
      </w:pPr>
      <w:r>
        <w:rPr>
          <w:rFonts w:ascii="Arial" w:hAnsi="Arial"/>
        </w:rPr>
        <w:t xml:space="preserve">Eine vertiefte Beschreibung der Modellierungsmethodik ist im folgenden </w:t>
      </w:r>
      <w:hyperlink r:id="rId5">
        <w:r>
          <w:rPr>
            <w:rStyle w:val="Hyperlink"/>
            <w:rFonts w:ascii="Arial" w:hAnsi="Arial"/>
          </w:rPr>
          <w:t>Dokument</w:t>
        </w:r>
      </w:hyperlink>
      <w:r>
        <w:rPr>
          <w:rFonts w:ascii="Arial" w:hAnsi="Arial"/>
        </w:rPr>
        <w:t xml:space="preserve"> zusammengetragen.</w:t>
      </w:r>
    </w:p>
    <w:p>
      <w:pPr>
        <w:pStyle w:val="Heading2"/>
        <w:rPr/>
      </w:pPr>
      <w:r>
        <w:rPr/>
        <w:t>Blau-Gr</w:t>
      </w:r>
      <w:r>
        <w:rPr>
          <w:rFonts w:hint="eastAsia"/>
        </w:rPr>
        <w:t>ü</w:t>
      </w:r>
      <w:r>
        <w:rPr/>
        <w:t>ne Infrastrukturplaner</w:t>
      </w:r>
    </w:p>
    <w:p>
      <w:pPr>
        <w:pStyle w:val="BodyText2"/>
        <w:spacing w:lineRule="auto" w:line="240"/>
        <w:jc w:val="both"/>
        <w:rPr>
          <w:rFonts w:ascii="Arial" w:hAnsi="Arial" w:cs="Arial"/>
        </w:rPr>
      </w:pPr>
      <w:r>
        <w:rPr>
          <w:rFonts w:cs="Arial" w:ascii="Arial" w:hAnsi="Arial"/>
        </w:rPr>
        <w:t>Über den folgenden Link können Sie auf den BGI-Planer zugreifen:</w:t>
      </w:r>
    </w:p>
    <w:p>
      <w:pPr>
        <w:pStyle w:val="Normal"/>
        <w:widowControl w:val="false"/>
        <w:spacing w:before="0" w:after="120"/>
        <w:jc w:val="both"/>
        <w:rPr>
          <w:rFonts w:ascii="Arial" w:hAnsi="Arial" w:cs="Arial"/>
        </w:rPr>
      </w:pPr>
      <w:hyperlink r:id="rId6">
        <w:r>
          <w:rPr>
            <w:rStyle w:val="Hyperlink"/>
            <w:rFonts w:ascii="Arial" w:hAnsi="Arial"/>
          </w:rPr>
          <w:t>https://bgi-planer.ts.berlin/</w:t>
        </w:r>
      </w:hyperlink>
    </w:p>
    <w:p>
      <w:pPr>
        <w:pStyle w:val="BodyText2"/>
        <w:spacing w:lineRule="auto" w:line="240"/>
        <w:jc w:val="both"/>
        <w:rPr>
          <w:rFonts w:ascii="Arial" w:hAnsi="Arial" w:cs="Arial"/>
        </w:rPr>
      </w:pPr>
      <w:r>
        <w:rPr/>
        <w:drawing>
          <wp:inline distT="0" distB="0" distL="0" distR="0">
            <wp:extent cx="5760085" cy="2954020"/>
            <wp:effectExtent l="0" t="0" r="0" b="0"/>
            <wp:docPr id="3" name="Grafik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hlinkClick r:id="rId8"/>
                    </pic:cNvPr>
                    <pic:cNvPicPr>
                      <a:picLocks noChangeAspect="1" noChangeArrowheads="1"/>
                    </pic:cNvPicPr>
                  </pic:nvPicPr>
                  <pic:blipFill>
                    <a:blip r:embed="rId7"/>
                    <a:stretch>
                      <a:fillRect/>
                    </a:stretch>
                  </pic:blipFill>
                  <pic:spPr bwMode="auto">
                    <a:xfrm>
                      <a:off x="0" y="0"/>
                      <a:ext cx="5760085" cy="2954020"/>
                    </a:xfrm>
                    <a:prstGeom prst="rect">
                      <a:avLst/>
                    </a:prstGeom>
                    <a:noFill/>
                  </pic:spPr>
                </pic:pic>
              </a:graphicData>
            </a:graphic>
          </wp:inline>
        </w:drawing>
      </w:r>
    </w:p>
    <w:p>
      <w:pPr>
        <w:pStyle w:val="Abbildunguser"/>
        <w:spacing w:lineRule="auto" w:line="240"/>
        <w:rPr>
          <w:color w:val="auto"/>
        </w:rPr>
      </w:pPr>
      <w:r>
        <w:rPr>
          <w:color w:val="auto"/>
        </w:rPr>
        <w:t>Abb. 2: Blau-Gr</w:t>
      </w:r>
      <w:r>
        <w:rPr>
          <w:rFonts w:hint="eastAsia"/>
          <w:color w:val="auto"/>
        </w:rPr>
        <w:t>ü</w:t>
      </w:r>
      <w:r>
        <w:rPr>
          <w:color w:val="auto"/>
        </w:rPr>
        <w:t>ner Infrastrukturplaner (eigene Darstellung)</w:t>
      </w:r>
    </w:p>
    <w:p>
      <w:pPr>
        <w:pStyle w:val="BodyText2"/>
        <w:spacing w:lineRule="auto" w:line="240"/>
        <w:jc w:val="both"/>
        <w:rPr>
          <w:rFonts w:ascii="Arial" w:hAnsi="Arial" w:cs="Arial"/>
        </w:rPr>
      </w:pPr>
      <w:r>
        <w:rPr>
          <w:rFonts w:cs="Arial" w:ascii="Arial" w:hAnsi="Arial"/>
        </w:rPr>
      </w:r>
    </w:p>
    <w:p>
      <w:pPr>
        <w:pStyle w:val="Heading2"/>
        <w:rPr/>
      </w:pPr>
      <w:r>
        <w:rPr/>
        <w:t>Häufig gestellte Fragen (FAQ)</w:t>
      </w:r>
    </w:p>
    <w:p>
      <w:pPr>
        <w:pStyle w:val="Normal"/>
        <w:spacing w:before="0" w:after="200"/>
        <w:rPr>
          <w:rFonts w:ascii="Times New Roman" w:hAnsi="Times New Roman"/>
          <w:sz w:val="24"/>
          <w:szCs w:val="24"/>
        </w:rPr>
      </w:pPr>
      <w:r>
        <w:rPr>
          <w:rFonts w:cs="Arial" w:ascii="Arial" w:hAnsi="Arial"/>
          <w:b/>
          <w:bCs/>
          <w:sz w:val="24"/>
          <w:szCs w:val="24"/>
        </w:rPr>
        <w:t>Funktionsweise</w:t>
      </w:r>
    </w:p>
    <w:p>
      <w:pPr>
        <w:pStyle w:val="Normal"/>
        <w:numPr>
          <w:ilvl w:val="0"/>
          <w:numId w:val="3"/>
        </w:numPr>
        <w:spacing w:before="0" w:after="200"/>
        <w:ind w:hanging="360" w:start="360"/>
        <w:rPr>
          <w:rFonts w:ascii="Arial" w:hAnsi="Arial" w:cs="Arial"/>
        </w:rPr>
      </w:pPr>
      <w:r>
        <w:rPr>
          <w:rFonts w:cs="Arial" w:ascii="Arial" w:hAnsi="Arial"/>
        </w:rPr>
        <w:t>Was soll in Modul 1 „Handlungsbedarfe analysieren“ und Modul 2 „Machbarkeiten prüfen“ gemacht werden?</w:t>
      </w:r>
    </w:p>
    <w:p>
      <w:pPr>
        <w:pStyle w:val="Normal"/>
        <w:spacing w:before="0" w:after="200"/>
        <w:rPr>
          <w:rFonts w:ascii="Arial" w:hAnsi="Arial" w:cs="Arial"/>
        </w:rPr>
      </w:pPr>
      <w:r>
        <w:rPr>
          <w:rFonts w:cs="Arial" w:ascii="Arial" w:hAnsi="Arial"/>
        </w:rPr>
        <w:t xml:space="preserve">In diesen Modulen können </w:t>
      </w:r>
      <w:r>
        <w:rPr>
          <w:rFonts w:ascii="Arial" w:hAnsi="Arial"/>
        </w:rPr>
        <w:t xml:space="preserve">Nutzerinnen und Nutzer </w:t>
      </w:r>
      <w:r>
        <w:rPr>
          <w:rFonts w:cs="Arial" w:ascii="Arial" w:hAnsi="Arial"/>
        </w:rPr>
        <w:t xml:space="preserve">Handlungsbedarfe und Machbarkeiten in ihrem Gebiet analysieren. Der BGI-Planer funktioniert hier wie ein Skizzenbuch – d. h. es ist den </w:t>
      </w:r>
      <w:r>
        <w:rPr>
          <w:rFonts w:ascii="Arial" w:hAnsi="Arial"/>
        </w:rPr>
        <w:t xml:space="preserve">Nutzerinnen und Nutzer </w:t>
      </w:r>
      <w:r>
        <w:rPr>
          <w:rFonts w:cs="Arial" w:ascii="Arial" w:hAnsi="Arial"/>
        </w:rPr>
        <w:t xml:space="preserve">selbst überlassen, was sie einzeichnen oder notieren wollen. </w:t>
      </w:r>
    </w:p>
    <w:p>
      <w:pPr>
        <w:pStyle w:val="Normal"/>
        <w:spacing w:before="0" w:after="200"/>
        <w:rPr>
          <w:rFonts w:ascii="Arial" w:hAnsi="Arial" w:cs="Arial"/>
        </w:rPr>
      </w:pPr>
      <w:r>
        <w:rPr>
          <w:rFonts w:cs="Arial" w:ascii="Arial" w:hAnsi="Arial"/>
        </w:rPr>
        <w:t>Die Polygonzeichnen-Funktion und das Auswählen von Blockteilflächen kann genutzt werden, um Hotspots zu identifizieren. Ebenso kann aber auch das ganze Gebiet ausgewählt werden, wenn der Handlungsbedarf oder die Machbarkeit überall zutrifft. Die Notizenfunktion kann genutzt werden, um Informationen oder Gedanken festzuhalten.</w:t>
      </w:r>
    </w:p>
    <w:p>
      <w:pPr>
        <w:pStyle w:val="Normal"/>
        <w:spacing w:before="0" w:after="200"/>
        <w:rPr>
          <w:rFonts w:ascii="Arial" w:hAnsi="Arial" w:cs="Arial"/>
        </w:rPr>
      </w:pPr>
      <w:r>
        <w:rPr>
          <w:rFonts w:cs="Arial" w:ascii="Arial" w:hAnsi="Arial"/>
        </w:rPr>
        <w:t xml:space="preserve">Die Zeichnungen und Notizen aus Modul 1 und 2 sind im dritten Modul „Planung und Effektbewertung“ einblendbar. Sie haben aber keine Auswirkungen auf die Effektbewertung. </w:t>
      </w:r>
    </w:p>
    <w:p>
      <w:pPr>
        <w:pStyle w:val="Normal"/>
        <w:spacing w:before="0" w:after="200"/>
        <w:rPr>
          <w:rFonts w:ascii="Arial" w:hAnsi="Arial" w:cs="Arial"/>
        </w:rPr>
      </w:pPr>
      <w:r>
        <w:rPr>
          <w:rFonts w:cs="Arial" w:ascii="Arial" w:hAnsi="Arial"/>
        </w:rPr>
      </w:r>
    </w:p>
    <w:p>
      <w:pPr>
        <w:pStyle w:val="Normal"/>
        <w:numPr>
          <w:ilvl w:val="0"/>
          <w:numId w:val="3"/>
        </w:numPr>
        <w:spacing w:before="0" w:after="200"/>
        <w:ind w:hanging="360" w:start="360"/>
        <w:rPr>
          <w:rFonts w:ascii="Arial" w:hAnsi="Arial" w:cs="Arial"/>
        </w:rPr>
      </w:pPr>
      <w:r>
        <w:rPr>
          <w:rFonts w:cs="Arial" w:ascii="Arial" w:hAnsi="Arial"/>
        </w:rPr>
        <w:t>Wie funktionieren das Platzieren und Bewerten von Maßnahmen?</w:t>
      </w:r>
    </w:p>
    <w:p>
      <w:pPr>
        <w:pStyle w:val="Normal"/>
        <w:spacing w:before="0" w:after="200"/>
        <w:rPr>
          <w:rFonts w:ascii="Arial" w:hAnsi="Arial" w:cs="Arial"/>
        </w:rPr>
      </w:pPr>
      <w:r>
        <w:rPr>
          <w:rFonts w:cs="Arial" w:ascii="Arial" w:hAnsi="Arial"/>
        </w:rPr>
        <w:t xml:space="preserve">Dies geschieht in Modul 3 des BGI-Planers. Sie können sich zunächst über die Maßnahmen in den Steckbriefen informieren. Dort sind auch die Hitze- und Starkregenmodellierungen zu finden. Das Platzieren funktioniert nach Auswahl der Maßnahme per Polygon zeichnen oder Punkt setzen.  </w:t>
      </w:r>
    </w:p>
    <w:p>
      <w:pPr>
        <w:pStyle w:val="Normal"/>
        <w:spacing w:before="0" w:after="200"/>
        <w:rPr>
          <w:rFonts w:ascii="Arial" w:hAnsi="Arial" w:cs="Arial"/>
        </w:rPr>
      </w:pPr>
      <w:r>
        <w:rPr>
          <w:rFonts w:cs="Arial" w:ascii="Arial" w:hAnsi="Arial"/>
        </w:rPr>
        <w:t>Folgendes ist zu beachten:</w:t>
      </w:r>
    </w:p>
    <w:p>
      <w:pPr>
        <w:pStyle w:val="ListParagraph"/>
        <w:numPr>
          <w:ilvl w:val="0"/>
          <w:numId w:val="9"/>
        </w:numPr>
        <w:spacing w:before="0" w:after="200"/>
        <w:contextualSpacing/>
        <w:rPr>
          <w:rFonts w:ascii="Arial" w:hAnsi="Arial" w:cs="Arial"/>
        </w:rPr>
      </w:pPr>
      <w:r>
        <w:rPr>
          <w:rFonts w:cs="Arial" w:ascii="Arial" w:hAnsi="Arial"/>
        </w:rPr>
        <w:t>Maßnahmen können nur innerhalb von Blockteilflächen platziert werden.</w:t>
      </w:r>
    </w:p>
    <w:p>
      <w:pPr>
        <w:pStyle w:val="ListParagraph"/>
        <w:numPr>
          <w:ilvl w:val="0"/>
          <w:numId w:val="9"/>
        </w:numPr>
        <w:spacing w:before="0" w:after="200"/>
        <w:contextualSpacing/>
        <w:rPr>
          <w:rFonts w:ascii="Arial" w:hAnsi="Arial" w:cs="Arial"/>
        </w:rPr>
      </w:pPr>
      <w:r>
        <w:rPr>
          <w:rFonts w:cs="Arial" w:ascii="Arial" w:hAnsi="Arial"/>
        </w:rPr>
        <w:t>Für Versickerungsmaßnahmen muss zuerst eine angeschlossene Fläche (z. B. Dach) gezeichnet werden. Daraufhin kann die Maßnahme damit verknüpft und platziert werden.</w:t>
      </w:r>
    </w:p>
    <w:p>
      <w:pPr>
        <w:pStyle w:val="ListParagraph"/>
        <w:numPr>
          <w:ilvl w:val="0"/>
          <w:numId w:val="9"/>
        </w:numPr>
        <w:spacing w:before="0" w:after="200"/>
        <w:contextualSpacing/>
        <w:rPr>
          <w:rFonts w:ascii="Arial" w:hAnsi="Arial" w:cs="Arial"/>
        </w:rPr>
      </w:pPr>
      <w:r>
        <w:rPr>
          <w:rFonts w:cs="Arial" w:ascii="Arial" w:hAnsi="Arial"/>
        </w:rPr>
        <w:t>Pro Maßnahme gibt es eine vorgegebene Maximalfläche, auf der die Maßnahme platziert werden kann. Diese wird in Rot als „Kapazität“ angezeigt.</w:t>
      </w:r>
    </w:p>
    <w:p>
      <w:pPr>
        <w:pStyle w:val="ListParagraph"/>
        <w:numPr>
          <w:ilvl w:val="0"/>
          <w:numId w:val="9"/>
        </w:numPr>
        <w:spacing w:before="0" w:after="200"/>
        <w:contextualSpacing/>
        <w:rPr>
          <w:rFonts w:ascii="Arial" w:hAnsi="Arial" w:cs="Arial"/>
        </w:rPr>
      </w:pPr>
      <w:r>
        <w:rPr>
          <w:rFonts w:cs="Arial" w:ascii="Arial" w:hAnsi="Arial"/>
        </w:rPr>
        <w:t>Sie können in der Layerauswahl links die eingezeichneten Maßnahmen ein- und ausblenden.</w:t>
      </w:r>
    </w:p>
    <w:p>
      <w:pPr>
        <w:pStyle w:val="Normal"/>
        <w:spacing w:before="0" w:after="200"/>
        <w:rPr>
          <w:rFonts w:ascii="Arial" w:hAnsi="Arial" w:cs="Arial"/>
        </w:rPr>
      </w:pPr>
      <w:r>
        <w:rPr>
          <w:rFonts w:cs="Arial" w:ascii="Arial" w:hAnsi="Arial"/>
        </w:rPr>
        <w:t>Schließlich können Sie per Klick auf den Modellierungsknopf unten links die Effektbewertung für den Wasserhaushalt und die Gewässerbelastung aufrufen.</w:t>
      </w:r>
    </w:p>
    <w:p>
      <w:pPr>
        <w:pStyle w:val="Normal"/>
        <w:spacing w:before="0" w:after="200"/>
        <w:rPr>
          <w:rFonts w:ascii="Arial" w:hAnsi="Arial" w:cs="Arial"/>
        </w:rPr>
      </w:pPr>
      <w:r>
        <w:rPr>
          <w:rFonts w:cs="Arial" w:ascii="Arial" w:hAnsi="Arial"/>
        </w:rPr>
      </w:r>
    </w:p>
    <w:p>
      <w:pPr>
        <w:pStyle w:val="Normal"/>
        <w:numPr>
          <w:ilvl w:val="0"/>
          <w:numId w:val="3"/>
        </w:numPr>
        <w:tabs>
          <w:tab w:val="clear" w:pos="720"/>
          <w:tab w:val="left" w:pos="-349" w:leader="none"/>
        </w:tabs>
        <w:spacing w:before="0" w:after="200"/>
        <w:ind w:hanging="360" w:start="360"/>
        <w:rPr>
          <w:rFonts w:ascii="Arial" w:hAnsi="Arial" w:cs="Arial"/>
        </w:rPr>
      </w:pPr>
      <w:r>
        <w:rPr>
          <w:rFonts w:cs="Arial" w:ascii="Arial" w:hAnsi="Arial"/>
        </w:rPr>
        <w:t>Warum gibt es keine Funktion, die das automatische Auswerten von Karteninhalten ermöglicht?</w:t>
      </w:r>
    </w:p>
    <w:p>
      <w:pPr>
        <w:pStyle w:val="Normal"/>
        <w:spacing w:before="0" w:after="200"/>
        <w:rPr>
          <w:rFonts w:ascii="Arial" w:hAnsi="Arial" w:cs="Arial"/>
        </w:rPr>
      </w:pPr>
      <w:r>
        <w:rPr>
          <w:rFonts w:cs="Arial" w:ascii="Arial" w:hAnsi="Arial"/>
        </w:rPr>
        <w:t xml:space="preserve">Die automatische Auswertung von Karteninhalten ist technisch komplex und wurde daher nicht als Funktion implementiert. Darüber hinaus liegt dem BGI-Planer ein bewusstes Konzept der Eigenanalyse zugrunde: </w:t>
      </w:r>
      <w:r>
        <w:rPr>
          <w:rFonts w:ascii="Arial" w:hAnsi="Arial"/>
        </w:rPr>
        <w:t xml:space="preserve">Nutzerinnen und Nutzer </w:t>
      </w:r>
      <w:r>
        <w:rPr>
          <w:rFonts w:cs="Arial" w:ascii="Arial" w:hAnsi="Arial"/>
        </w:rPr>
        <w:t>sollen selbst entscheiden, worauf ihr Analysefokus liegt und welche Aspekte sie für relevant erachten. Da Karten grundsätzlich unterschiedlich interpretierbar sind, würde eine automatisierte Auswertung dieser Offenheit nicht gerecht werden.</w:t>
      </w:r>
    </w:p>
    <w:p>
      <w:pPr>
        <w:pStyle w:val="Normal"/>
        <w:spacing w:before="0" w:after="200"/>
        <w:rPr>
          <w:rFonts w:ascii="Arial" w:hAnsi="Arial" w:cs="Arial"/>
        </w:rPr>
      </w:pPr>
      <w:r>
        <w:rPr>
          <w:rFonts w:cs="Arial" w:ascii="Arial" w:hAnsi="Arial"/>
        </w:rPr>
      </w:r>
    </w:p>
    <w:p>
      <w:pPr>
        <w:pStyle w:val="Normal"/>
        <w:numPr>
          <w:ilvl w:val="0"/>
          <w:numId w:val="3"/>
        </w:numPr>
        <w:spacing w:before="0" w:after="200"/>
        <w:ind w:hanging="360" w:start="360"/>
        <w:rPr>
          <w:rFonts w:ascii="Arial" w:hAnsi="Arial" w:cs="Arial"/>
        </w:rPr>
      </w:pPr>
      <w:r>
        <w:rPr>
          <w:rFonts w:cs="Arial" w:ascii="Arial" w:hAnsi="Arial"/>
        </w:rPr>
        <w:t>Kann ich den BGI-Planer auch außerhalb des Landes Berlin nutzen?</w:t>
      </w:r>
    </w:p>
    <w:p>
      <w:pPr>
        <w:pStyle w:val="Normal"/>
        <w:spacing w:before="0" w:after="200"/>
        <w:rPr>
          <w:rFonts w:ascii="Arial" w:hAnsi="Arial" w:cs="Arial"/>
        </w:rPr>
      </w:pPr>
      <w:r>
        <w:rPr>
          <w:rFonts w:cs="Arial" w:ascii="Arial" w:hAnsi="Arial"/>
        </w:rPr>
        <w:t>In seiner aktuellen Form stellt der BGI-Planer nur Karten im Land Berlin dar. Da das Tool jedoch als Open-Source-Lösung verfügbar ist (siehe GitHub), ist eine Übertragung auf andere Regionen und Kommunen grundsätzlich möglich. Dafür müssen zunächst die erforderlichen Kartengrundlagen ermittelt und entsprechend angepasst werden. Auch die zugrunde liegenden Modellierungen können übernommen werden, sofern sie an die regionalen Gegebenheiten angepasst werden und die nötigen Daten vorliegen. Interessierte Kommunen können sich hierfür an das Kompetenzzentrum Wasser Berlin und die Technologiestiftung Berlin wenden.</w:t>
      </w:r>
    </w:p>
    <w:p>
      <w:pPr>
        <w:pStyle w:val="Normal"/>
        <w:spacing w:before="0" w:after="200"/>
        <w:rPr>
          <w:rFonts w:ascii="Arial" w:hAnsi="Arial" w:cs="Arial"/>
        </w:rPr>
      </w:pPr>
      <w:r>
        <w:rPr>
          <w:rFonts w:cs="Arial" w:ascii="Arial" w:hAnsi="Arial"/>
        </w:rPr>
      </w:r>
    </w:p>
    <w:p>
      <w:pPr>
        <w:pStyle w:val="Normal"/>
        <w:numPr>
          <w:ilvl w:val="0"/>
          <w:numId w:val="3"/>
        </w:numPr>
        <w:spacing w:before="0" w:after="200"/>
        <w:ind w:hanging="360" w:start="360"/>
        <w:rPr>
          <w:rFonts w:ascii="Arial" w:hAnsi="Arial" w:cs="Arial"/>
        </w:rPr>
      </w:pPr>
      <w:r>
        <w:rPr>
          <w:rFonts w:cs="Arial" w:ascii="Arial" w:hAnsi="Arial"/>
        </w:rPr>
        <w:t>Welche Datenformate kann ich im BGI-Planer hochladen?</w:t>
      </w:r>
    </w:p>
    <w:p>
      <w:pPr>
        <w:pStyle w:val="Normal"/>
        <w:spacing w:before="0" w:after="200"/>
        <w:rPr>
          <w:rFonts w:ascii="Arial" w:hAnsi="Arial" w:cs="Arial"/>
        </w:rPr>
      </w:pPr>
      <w:r>
        <w:rPr>
          <w:rFonts w:cs="Arial" w:ascii="Arial" w:hAnsi="Arial"/>
        </w:rPr>
        <w:t>Karten können als WMS eingebunden werden, Polygone (z. B. für Neubau oder das Untersuchungsgebiet) lassen sich als Shapefile oder GeoJSON hochladen. Liegen Kartengrundlagen im DXF-Format vor, müssen diese zunächst georeferenziert und in GeoJSON konvertiert werden, was beispielsweise mit QGIS möglich ist.</w:t>
      </w:r>
    </w:p>
    <w:p>
      <w:pPr>
        <w:pStyle w:val="Normal"/>
        <w:spacing w:before="0" w:after="200"/>
        <w:rPr>
          <w:rFonts w:ascii="Times New Roman" w:hAnsi="Times New Roman"/>
          <w:sz w:val="24"/>
          <w:szCs w:val="24"/>
        </w:rPr>
      </w:pPr>
      <w:r>
        <w:rPr>
          <w:rFonts w:ascii="Times New Roman" w:hAnsi="Times New Roman"/>
          <w:sz w:val="24"/>
          <w:szCs w:val="24"/>
        </w:rPr>
        <w:t> </w:t>
      </w:r>
    </w:p>
    <w:p>
      <w:pPr>
        <w:pStyle w:val="Normal"/>
        <w:spacing w:before="0" w:after="200"/>
        <w:rPr>
          <w:rFonts w:ascii="Times New Roman" w:hAnsi="Times New Roman"/>
          <w:sz w:val="24"/>
          <w:szCs w:val="24"/>
        </w:rPr>
      </w:pPr>
      <w:r>
        <w:rPr>
          <w:rFonts w:cs="Arial" w:ascii="Arial" w:hAnsi="Arial"/>
          <w:b/>
          <w:bCs/>
          <w:sz w:val="24"/>
          <w:szCs w:val="24"/>
        </w:rPr>
        <w:t>Modellierungen</w:t>
      </w:r>
    </w:p>
    <w:p>
      <w:pPr>
        <w:pStyle w:val="Normal"/>
        <w:numPr>
          <w:ilvl w:val="0"/>
          <w:numId w:val="5"/>
        </w:numPr>
        <w:tabs>
          <w:tab w:val="clear" w:pos="720"/>
          <w:tab w:val="left" w:pos="-349" w:leader="none"/>
        </w:tabs>
        <w:spacing w:before="0" w:after="200"/>
        <w:ind w:hanging="360" w:start="360"/>
        <w:rPr>
          <w:rFonts w:ascii="Arial" w:hAnsi="Arial" w:cs="Arial"/>
        </w:rPr>
      </w:pPr>
      <w:r>
        <w:rPr>
          <w:rFonts w:cs="Arial" w:ascii="Arial" w:hAnsi="Arial"/>
        </w:rPr>
        <w:t>Warum gibt es für die Themen Hitze und Starkregen keine Live-Modellierungen basierend auf der eigenen Planung?</w:t>
      </w:r>
    </w:p>
    <w:p>
      <w:pPr>
        <w:pStyle w:val="Normal"/>
        <w:spacing w:before="0" w:after="200"/>
        <w:rPr>
          <w:rFonts w:ascii="Arial" w:hAnsi="Arial" w:cs="Arial"/>
        </w:rPr>
      </w:pPr>
      <w:r>
        <w:rPr>
          <w:rFonts w:cs="Arial" w:ascii="Arial" w:hAnsi="Arial"/>
        </w:rPr>
        <w:t xml:space="preserve">Die Modellierungen für Hitze und Starkregen sind sehr komplex und übersteigen die Kapazitäten der Webanwendung BGI-Planer. Alternativ kann die eigene Planung mit den Referenzmodellierungen, die in den Maßnahmensteckbriefen aufrufbar sind, verglichen werden. Dies bietet eine erste Annäherung an die Effektbewertung. </w:t>
      </w:r>
    </w:p>
    <w:p>
      <w:pPr>
        <w:pStyle w:val="Normal"/>
        <w:spacing w:before="0" w:after="200"/>
        <w:rPr>
          <w:rFonts w:ascii="Arial" w:hAnsi="Arial" w:cs="Arial"/>
        </w:rPr>
      </w:pPr>
      <w:r>
        <w:rPr>
          <w:rFonts w:cs="Arial" w:ascii="Arial" w:hAnsi="Arial"/>
        </w:rPr>
        <w:t xml:space="preserve">Für die Hitze- und Starkregen-Modellierungen wurden Szenarien berechnet, in denen jeweils von einem Umsetzungsgrad der Maßnahme bei 25 %, 50 % und 100 % ausgegangen wurde. Das heißt, dass auf X % der jeweiligen Potenzialfläche des Gebiets die jeweilige Maßnahme umgesetzt wurde. Beispiel: Für die Maßnahme extensives Gründach Umsetzungsgrad 100 % wurde modelliert, welche Auswirkungen es hätte, wenn 100 % der potenziell begrünbaren Dächer extensive Gründächer  wären. </w:t>
      </w:r>
    </w:p>
    <w:p>
      <w:pPr>
        <w:pStyle w:val="Normal"/>
        <w:numPr>
          <w:ilvl w:val="0"/>
          <w:numId w:val="5"/>
        </w:numPr>
        <w:spacing w:before="0" w:after="200"/>
        <w:ind w:hanging="360" w:start="360"/>
        <w:rPr>
          <w:rFonts w:ascii="Arial" w:hAnsi="Arial" w:cs="Arial"/>
        </w:rPr>
      </w:pPr>
      <w:r>
        <w:rPr>
          <w:rFonts w:cs="Arial" w:ascii="Arial" w:hAnsi="Arial"/>
        </w:rPr>
        <w:t>Interpretationshilfen für die Modellierungen</w:t>
      </w:r>
    </w:p>
    <w:p>
      <w:pPr>
        <w:pStyle w:val="Heading4"/>
        <w:rPr>
          <w:sz w:val="20"/>
          <w:szCs w:val="20"/>
        </w:rPr>
      </w:pPr>
      <w:r>
        <w:rPr>
          <w:sz w:val="20"/>
          <w:szCs w:val="20"/>
        </w:rPr>
        <w:t>Wasserhaushalt</w:t>
      </w:r>
    </w:p>
    <w:p>
      <w:pPr>
        <w:pStyle w:val="Heading5"/>
        <w:rPr>
          <w:color w:val="auto"/>
        </w:rPr>
      </w:pPr>
      <w:r>
        <w:rPr>
          <w:color w:val="auto"/>
        </w:rPr>
        <w:t>Wie wird der Wasserhaushalt modelliert?</w:t>
      </w:r>
    </w:p>
    <w:p>
      <w:pPr>
        <w:pStyle w:val="Normal"/>
        <w:pBdr/>
        <w:spacing w:before="0" w:after="200"/>
        <w:contextualSpacing/>
        <w:rPr>
          <w:rFonts w:ascii="Arial" w:hAnsi="Arial" w:cs="Arial"/>
          <w:b/>
          <w:bCs/>
        </w:rPr>
      </w:pPr>
      <w:r>
        <w:rPr>
          <w:rFonts w:cs="Arial" w:ascii="Arial" w:hAnsi="Arial"/>
        </w:rPr>
        <w:t>Die Wasserhaushaltsmodellierung basiert auf dem Modell ABIMO, welches den Wasserhaushalt auf Jahresbasis berechnet; entsprechend liegen auch die meteorologischen Eingangsdaten als Jahreswerte vor</w:t>
      </w:r>
      <w:r>
        <w:rPr>
          <w:rFonts w:cs="Arial" w:ascii="Arial" w:hAnsi="Arial"/>
          <w:b/>
          <w:bCs/>
        </w:rPr>
        <w:t>.</w:t>
      </w:r>
    </w:p>
    <w:p>
      <w:pPr>
        <w:pStyle w:val="Normal"/>
        <w:pBdr/>
        <w:spacing w:before="0" w:after="200"/>
        <w:contextualSpacing/>
        <w:rPr>
          <w:rFonts w:ascii="Arial" w:hAnsi="Arial" w:cs="Arial"/>
          <w:b/>
          <w:bCs/>
        </w:rPr>
      </w:pPr>
      <w:r>
        <w:rPr>
          <w:rFonts w:cs="Arial" w:ascii="Arial" w:hAnsi="Arial"/>
          <w:b/>
          <w:bCs/>
        </w:rPr>
      </w:r>
    </w:p>
    <w:p>
      <w:pPr>
        <w:pStyle w:val="Normal"/>
        <w:pBdr/>
        <w:spacing w:before="0" w:after="200"/>
        <w:contextualSpacing/>
        <w:rPr>
          <w:rFonts w:ascii="Arial" w:hAnsi="Arial" w:cs="Arial"/>
          <w:b/>
          <w:bCs/>
        </w:rPr>
      </w:pPr>
      <w:r>
        <w:rPr>
          <w:rFonts w:cs="Arial" w:ascii="Arial" w:hAnsi="Arial"/>
          <w:b/>
          <w:bCs/>
        </w:rPr>
        <w:t xml:space="preserve">Vereinfacht ausgedrückt ermittelt das Modell, welcher Anteil des Niederschlags, der innerhalb eines Jahres auf eine bestimmte Fläche fällt, verdunstet, im Boden versickert und welcher Anteil zum Oberflächenabfluss beiträgt. Daraufhin wird berechnet, inwiefern die Maßnahmenplanung den Wasserhaushalt ändert (ΔW). Das Ziel ist eine Annäherung an einen naturnahen Wasserhaushalt. </w:t>
      </w:r>
    </w:p>
    <w:p>
      <w:pPr>
        <w:pStyle w:val="Normal"/>
        <w:pBdr/>
        <w:spacing w:before="0" w:after="200"/>
        <w:contextualSpacing/>
        <w:rPr>
          <w:rFonts w:ascii="Arial" w:hAnsi="Arial" w:cs="Arial"/>
        </w:rPr>
      </w:pPr>
      <w:r>
        <w:rPr>
          <w:rFonts w:cs="Arial" w:ascii="Arial" w:hAnsi="Arial"/>
        </w:rPr>
      </w:r>
    </w:p>
    <w:p>
      <w:pPr>
        <w:pStyle w:val="Normal"/>
        <w:rPr>
          <w:rFonts w:ascii="Arial" w:hAnsi="Arial" w:cs="Arial"/>
        </w:rPr>
      </w:pPr>
      <w:r>
        <w:rPr>
          <w:rFonts w:cs="Arial" w:ascii="Arial" w:hAnsi="Arial"/>
        </w:rPr>
        <w:t>Für jede Blockteilfläche liegt für jeden Eingangsparameter ein eigener Wert vor. ABIMO berechnet daraus die drei Komponenten des Wasserhaushalts in mm/a sowie zusätzlich den Parameter ΔW in %, d. h. die Abweichung vom naturnahen Wasserhaushalt</w:t>
      </w:r>
    </w:p>
    <w:p>
      <w:pPr>
        <w:pStyle w:val="Normal"/>
        <w:rPr>
          <w:rFonts w:ascii="Arial" w:hAnsi="Arial" w:cs="Arial"/>
        </w:rPr>
      </w:pPr>
      <w:r>
        <w:rPr>
          <w:rFonts w:cs="Arial" w:ascii="Arial" w:hAnsi="Arial"/>
        </w:rPr>
      </w:r>
    </w:p>
    <w:p>
      <w:pPr>
        <w:pStyle w:val="Normal"/>
        <w:pBdr/>
        <w:spacing w:before="0" w:after="200"/>
        <w:contextualSpacing/>
        <w:rPr>
          <w:rFonts w:ascii="Arial" w:hAnsi="Arial" w:cs="Arial"/>
        </w:rPr>
      </w:pPr>
      <w:r>
        <w:rPr>
          <w:rFonts w:cs="Arial" w:ascii="Arial" w:hAnsi="Arial"/>
        </w:rPr>
        <w:t xml:space="preserve">Das Modell selbst ist grundsätzlich nicht an eine bestimmte räumliche Auflösung gebunden. In der Anwendung im BGI-Planer dient jedoch die Berliner Blockteilflächenstruktur als räumliche Bezugseinheit. Sie bildet zugleich eine zentrale räumliche Grundlage des </w:t>
      </w:r>
      <w:hyperlink r:id="rId9" w:tooltip="https://www.berlin.de/umweltatlas/">
        <w:r>
          <w:rPr>
            <w:rStyle w:val="Style"/>
            <w:rFonts w:cs="Arial" w:ascii="Arial" w:hAnsi="Arial"/>
          </w:rPr>
          <w:t>Umweltatlas Berlin</w:t>
        </w:r>
      </w:hyperlink>
      <w:r>
        <w:rPr>
          <w:rFonts w:cs="Arial" w:ascii="Arial" w:hAnsi="Arial"/>
        </w:rPr>
        <w:t>.</w:t>
      </w:r>
    </w:p>
    <w:p>
      <w:pPr>
        <w:pStyle w:val="Normal"/>
        <w:rPr>
          <w:rFonts w:ascii="Arial" w:hAnsi="Arial" w:cs="Arial"/>
        </w:rPr>
      </w:pPr>
      <w:r>
        <w:rPr>
          <w:rFonts w:cs="Arial" w:ascii="Arial" w:hAnsi="Arial"/>
        </w:rPr>
      </w:r>
    </w:p>
    <w:p>
      <w:pPr>
        <w:pStyle w:val="Heading5"/>
        <w:rPr>
          <w:color w:val="auto"/>
        </w:rPr>
      </w:pPr>
      <w:r>
        <w:rPr>
          <w:color w:val="auto"/>
        </w:rPr>
        <w:t>Was versteht man unter einem naturnahen Wasserhaushalt?</w:t>
      </w:r>
    </w:p>
    <w:p>
      <w:pPr>
        <w:pStyle w:val="Normal"/>
        <w:pBdr/>
        <w:spacing w:before="0" w:after="200"/>
        <w:rPr>
          <w:rFonts w:ascii="Arial" w:hAnsi="Arial" w:cs="Arial"/>
        </w:rPr>
      </w:pPr>
      <w:r>
        <w:rPr>
          <w:rFonts w:cs="Arial" w:ascii="Arial" w:hAnsi="Arial"/>
        </w:rPr>
        <w:t>Ein naturnaher Wasserhaushalt beschreibt die Verteilung des Niederschlagswassers auf Verdunstung, Versickerung und Oberflächenabfluss, wie sie unter weitgehend natürlichen Bedingungen zu erwarten wäre. Im ABIMO-Modell wird dafür ein unversiegelter und unbebauter Referenzzustand mit begrünten  Flächen mit Baumbestand angenommen (ähnlich wie ein Stadtpark). Der berechnete Wasserhaushalt einer Fläche wird mit diesem Referenzzustand verglichen.</w:t>
      </w:r>
    </w:p>
    <w:p>
      <w:pPr>
        <w:pStyle w:val="Heading5"/>
        <w:rPr>
          <w:color w:val="auto"/>
        </w:rPr>
      </w:pPr>
      <w:r>
        <w:rPr>
          <w:color w:val="auto"/>
        </w:rPr>
        <w:t>Welche Eingangsparameter benötigt ABIMO zur Berechnung des Wasserhaushalts?</w:t>
      </w:r>
    </w:p>
    <w:p>
      <w:pPr>
        <w:pStyle w:val="Normal"/>
        <w:pBdr/>
        <w:spacing w:before="0" w:after="200"/>
        <w:contextualSpacing/>
        <w:rPr>
          <w:rFonts w:ascii="Arial" w:hAnsi="Arial" w:cs="Arial"/>
        </w:rPr>
      </w:pPr>
      <w:r>
        <w:rPr>
          <w:rFonts w:cs="Arial" w:ascii="Arial" w:hAnsi="Arial"/>
        </w:rPr>
        <w:t xml:space="preserve">Die von ABIMO benötigten Eingangsparameter sind ausführlich in der Dokumentation unter </w:t>
      </w:r>
      <w:hyperlink r:id="rId10" w:tooltip="https://kwb-r.github.io/kwb.rabimo/reference/rabimo_inputs_2025.html&quot; l &quot;rabimo_inputs_2025">
        <w:r>
          <w:rPr>
            <w:rStyle w:val="Style"/>
            <w:rFonts w:cs="Arial" w:ascii="Arial" w:hAnsi="Arial"/>
          </w:rPr>
          <w:t>kwb.rabimo – rabimo_inputs_2025</w:t>
        </w:r>
      </w:hyperlink>
      <w:r>
        <w:rPr>
          <w:rFonts w:cs="Arial" w:ascii="Arial" w:hAnsi="Arial"/>
        </w:rPr>
        <w:t xml:space="preserve"> beschrieben. Die Eingangsdaten umfassen insbesondere Informationen zu: </w:t>
      </w:r>
    </w:p>
    <w:p>
      <w:pPr>
        <w:pStyle w:val="ListParagraph"/>
        <w:numPr>
          <w:ilvl w:val="0"/>
          <w:numId w:val="7"/>
        </w:numPr>
        <w:pBdr/>
        <w:spacing w:before="0" w:after="200"/>
        <w:contextualSpacing/>
        <w:rPr>
          <w:rFonts w:ascii="Arial" w:hAnsi="Arial" w:cs="Arial"/>
        </w:rPr>
      </w:pPr>
      <w:r>
        <w:rPr>
          <w:rFonts w:cs="Arial" w:ascii="Arial" w:hAnsi="Arial"/>
        </w:rPr>
        <w:t>der Flächen- und Bebauungsstruktur, beispielsweise Dächer, Straßen und befestigte Flächen,</w:t>
      </w:r>
    </w:p>
    <w:p>
      <w:pPr>
        <w:pStyle w:val="ListParagraph"/>
        <w:numPr>
          <w:ilvl w:val="0"/>
          <w:numId w:val="7"/>
        </w:numPr>
        <w:pBdr/>
        <w:spacing w:before="0" w:after="200"/>
        <w:contextualSpacing/>
        <w:rPr>
          <w:rFonts w:ascii="Arial" w:hAnsi="Arial" w:cs="Arial"/>
        </w:rPr>
      </w:pPr>
      <w:r>
        <w:rPr>
          <w:rFonts w:cs="Arial" w:ascii="Arial" w:hAnsi="Arial"/>
        </w:rPr>
        <w:t>dem Klima, insbesondere Niederschlag und potenzielle Verdunstung,</w:t>
      </w:r>
    </w:p>
    <w:p>
      <w:pPr>
        <w:pStyle w:val="ListParagraph"/>
        <w:numPr>
          <w:ilvl w:val="0"/>
          <w:numId w:val="7"/>
        </w:numPr>
        <w:pBdr/>
        <w:spacing w:before="0" w:after="200"/>
        <w:contextualSpacing/>
        <w:rPr>
          <w:rFonts w:ascii="Arial" w:hAnsi="Arial" w:cs="Arial"/>
        </w:rPr>
      </w:pPr>
      <w:r>
        <w:rPr>
          <w:rFonts w:cs="Arial" w:ascii="Arial" w:hAnsi="Arial"/>
        </w:rPr>
        <w:t>den Bodeneigenschaften, insbesondere der nutzbaren Feldkapazität, sowie</w:t>
      </w:r>
    </w:p>
    <w:p>
      <w:pPr>
        <w:pStyle w:val="ListParagraph"/>
        <w:numPr>
          <w:ilvl w:val="0"/>
          <w:numId w:val="7"/>
        </w:numPr>
        <w:pBdr/>
        <w:spacing w:before="0" w:after="200"/>
        <w:contextualSpacing/>
        <w:rPr>
          <w:rFonts w:ascii="Arial" w:hAnsi="Arial" w:cs="Arial"/>
        </w:rPr>
      </w:pPr>
      <w:r>
        <w:rPr>
          <w:rFonts w:cs="Arial" w:ascii="Arial" w:hAnsi="Arial"/>
        </w:rPr>
        <w:t>der Vegetation, die über eine dimensionslose, mit der Vegetationsdichte zusammenhängende Kenngröße berücksichtigt wird.</w:t>
      </w:r>
    </w:p>
    <w:p>
      <w:pPr>
        <w:pStyle w:val="Normal"/>
        <w:pBdr/>
        <w:spacing w:before="0" w:after="200"/>
        <w:rPr>
          <w:rFonts w:ascii="Arial" w:hAnsi="Arial" w:cs="Arial"/>
        </w:rPr>
      </w:pPr>
      <w:r>
        <w:rPr>
          <w:rFonts w:cs="Arial" w:ascii="Arial" w:hAnsi="Arial"/>
        </w:rPr>
        <w:t>Optional kann ABIMO außerdem eine Geometrie- bzw. Georeferenzierungsspalte, beispielsweise aus einer GeoPackage-Datei (.gpkg), verarbeiten. Diese räumlichen Informationen werden automatisch in die Modellergebnisse übernommen und ermöglichen anschließend deren kartografische bzw. räumliche Darstellung.</w:t>
      </w:r>
    </w:p>
    <w:p>
      <w:pPr>
        <w:pStyle w:val="Heading4"/>
        <w:rPr>
          <w:sz w:val="20"/>
          <w:szCs w:val="20"/>
        </w:rPr>
      </w:pPr>
      <w:r>
        <w:rPr>
          <w:sz w:val="20"/>
          <w:szCs w:val="20"/>
        </w:rPr>
        <w:t>Gewässerbelastung</w:t>
      </w:r>
    </w:p>
    <w:p>
      <w:pPr>
        <w:pStyle w:val="Heading5"/>
        <w:rPr>
          <w:color w:val="auto"/>
        </w:rPr>
      </w:pPr>
      <w:r>
        <w:rPr>
          <w:color w:val="auto"/>
        </w:rPr>
        <w:t>Wie wird die Wirkung von BGI-Maßnahmen auf die Gewässerqualität modelliert?</w:t>
      </w:r>
    </w:p>
    <w:p>
      <w:pPr>
        <w:pStyle w:val="Normal"/>
        <w:pBdr/>
        <w:rPr>
          <w:rFonts w:ascii="Arial" w:hAnsi="Arial" w:eastAsia="Arial" w:cs="Arial"/>
        </w:rPr>
      </w:pPr>
      <w:r>
        <w:rPr>
          <w:rFonts w:eastAsia="Arial" w:cs="Arial" w:ascii="Arial" w:hAnsi="Arial"/>
          <w:b/>
          <w:bCs/>
        </w:rPr>
        <w:t xml:space="preserve">Der BGI-Planer ermöglicht eine Abschätzung, wie sich geplante blau-grüne Infrastrukturmaßnahmen auf die Gewässerbelastung durch Mischwasserüberläufe auswirken. </w:t>
      </w:r>
      <w:r>
        <w:rPr>
          <w:rFonts w:eastAsia="Arial" w:cs="Arial" w:ascii="Arial" w:hAnsi="Arial"/>
        </w:rPr>
        <w:t>Maßnahmen, die versiegelte Flächen von der Mischkanalisation abkoppeln oder den oberflächlichen Regenabfluss reduzieren, verringern den Zufluss in die Mischkanalisation. Dadurch können Häufigkeit und Volumen von Mischwasserüberläufen sinken.</w:t>
      </w:r>
    </w:p>
    <w:p>
      <w:pPr>
        <w:pStyle w:val="Normal"/>
        <w:pBdr/>
        <w:rPr>
          <w:rFonts w:ascii="Arial" w:hAnsi="Arial" w:cs="Arial"/>
        </w:rPr>
      </w:pPr>
      <w:r>
        <w:rPr>
          <w:rFonts w:cs="Arial" w:ascii="Arial" w:hAnsi="Arial"/>
        </w:rPr>
      </w:r>
    </w:p>
    <w:p>
      <w:pPr>
        <w:pStyle w:val="Normal"/>
        <w:pBdr/>
        <w:rPr>
          <w:rFonts w:ascii="Arial" w:hAnsi="Arial" w:eastAsia="Arial" w:cs="Arial"/>
        </w:rPr>
      </w:pPr>
      <w:r>
        <w:rPr>
          <w:rFonts w:eastAsia="Arial" w:cs="Arial" w:ascii="Arial" w:hAnsi="Arial"/>
        </w:rPr>
        <w:t>In Berlin führen Mischwasserüberläufe regelmäßig zu Sauerstoffmangel in Flüssen und Kanälen. Sinkt der Sauerstoffgehalt unter 1,5 mg/L, ist mit Fischsterben zu rechnen.</w:t>
      </w:r>
    </w:p>
    <w:p>
      <w:pPr>
        <w:pStyle w:val="Normal"/>
        <w:pBdr/>
        <w:rPr>
          <w:rFonts w:ascii="Arial" w:hAnsi="Arial" w:cs="Arial"/>
        </w:rPr>
      </w:pPr>
      <w:r>
        <w:rPr>
          <w:rFonts w:cs="Arial" w:ascii="Arial" w:hAnsi="Arial"/>
        </w:rPr>
      </w:r>
    </w:p>
    <w:p>
      <w:pPr>
        <w:pStyle w:val="Normal"/>
        <w:pBdr/>
        <w:rPr>
          <w:rFonts w:ascii="Arial" w:hAnsi="Arial" w:cs="Arial"/>
        </w:rPr>
      </w:pPr>
      <w:bookmarkStart w:id="0" w:name="_Hlk239957763"/>
      <w:r>
        <w:rPr>
          <w:rFonts w:eastAsia="Arial" w:cs="Arial" w:ascii="Arial" w:hAnsi="Arial"/>
        </w:rPr>
        <w:t xml:space="preserve">Die Modellierung berücksichtigt stets das gesamte Mischwassereinzugsgebiet und alle daran angeschlossenen, versiegelten Flächen. </w:t>
      </w:r>
      <w:r>
        <w:rPr>
          <w:rFonts w:eastAsia="Arial" w:cs="Arial" w:ascii="Arial" w:hAnsi="Arial"/>
          <w:b/>
          <w:bCs/>
        </w:rPr>
        <w:t>Dabei wird die durch die geplanten Maßnahmen ermittelte Abflussreduktion auf die versiegelten Flächen des gesamten Mischwassereinzugsgebiets hochgerechnet</w:t>
      </w:r>
      <w:bookmarkEnd w:id="0"/>
      <w:r>
        <w:rPr>
          <w:rFonts w:eastAsia="Arial" w:cs="Arial" w:ascii="Arial" w:hAnsi="Arial"/>
          <w:b/>
          <w:bCs/>
        </w:rPr>
        <w:t>.</w:t>
      </w:r>
      <w:r>
        <w:rPr>
          <w:rFonts w:eastAsia="Arial" w:cs="Arial" w:ascii="Arial" w:hAnsi="Arial"/>
        </w:rPr>
        <w:t xml:space="preserve"> Auf dieser Grundlage wird die Gesamtwirkung der geplanten Maßnahmen auf die Verringerung von Mischwasserüberläufen sowie auf die Verbesserung der Gewässerqualität abgeschätzt.</w:t>
      </w:r>
    </w:p>
    <w:p>
      <w:pPr>
        <w:pStyle w:val="Normal"/>
        <w:pBdr/>
        <w:rPr>
          <w:rFonts w:ascii="Arial" w:hAnsi="Arial" w:cs="Arial"/>
        </w:rPr>
      </w:pPr>
      <w:r>
        <w:rPr>
          <w:rFonts w:cs="Arial" w:ascii="Arial" w:hAnsi="Arial"/>
        </w:rPr>
      </w:r>
    </w:p>
    <w:p>
      <w:pPr>
        <w:pStyle w:val="Normal"/>
        <w:pBdr/>
        <w:rPr>
          <w:rFonts w:ascii="Arial" w:hAnsi="Arial" w:cs="Arial"/>
        </w:rPr>
      </w:pPr>
      <w:r>
        <w:rPr>
          <w:rFonts w:cs="Arial" w:ascii="Arial" w:hAnsi="Arial"/>
        </w:rPr>
        <w:t xml:space="preserve">Die Modellierung liefert eine abstrahierte Einschätzung darüber, inwiefern die Maßnahmenplanung einen positiven Effekt auf die Gewässerqualität haben kann. </w:t>
      </w:r>
    </w:p>
    <w:p>
      <w:pPr>
        <w:pStyle w:val="Normal"/>
        <w:pBdr/>
        <w:rPr>
          <w:rFonts w:ascii="Arial" w:hAnsi="Arial" w:cs="Arial"/>
        </w:rPr>
      </w:pPr>
      <w:r>
        <w:rPr>
          <w:rFonts w:cs="Arial" w:ascii="Arial" w:hAnsi="Arial"/>
        </w:rPr>
      </w:r>
    </w:p>
    <w:p>
      <w:pPr>
        <w:pStyle w:val="Heading5"/>
        <w:rPr>
          <w:color w:val="auto"/>
        </w:rPr>
      </w:pPr>
      <w:r>
        <w:rPr>
          <w:color w:val="auto"/>
        </w:rPr>
        <w:t>Wie wird die Gewässerbelastung bewertet?</w:t>
      </w:r>
    </w:p>
    <w:p>
      <w:pPr>
        <w:pStyle w:val="Normal"/>
        <w:pBdr/>
        <w:rPr>
          <w:rFonts w:ascii="Arial" w:hAnsi="Arial" w:cs="Arial"/>
        </w:rPr>
      </w:pPr>
      <w:r>
        <w:rPr>
          <w:rFonts w:eastAsia="Arial" w:cs="Arial" w:ascii="Arial" w:hAnsi="Arial"/>
        </w:rPr>
        <w:t>Die Bewertung erfolgt anhand von zwei Kennwerten, die den Sauerstoffmangel im Gewässer beschreiben: der Unterschreitungsdauer in Stunden und der Anzahl kritischer O₂-Ereignisse.</w:t>
      </w:r>
    </w:p>
    <w:p>
      <w:pPr>
        <w:pStyle w:val="Normal"/>
        <w:pBdr/>
        <w:rPr>
          <w:rFonts w:ascii="Arial" w:hAnsi="Arial" w:cs="Arial"/>
        </w:rPr>
      </w:pPr>
      <w:r>
        <w:rPr>
          <w:rFonts w:cs="Arial" w:ascii="Arial" w:hAnsi="Arial"/>
        </w:rPr>
      </w:r>
    </w:p>
    <w:p>
      <w:pPr>
        <w:pStyle w:val="Normal"/>
        <w:pBdr/>
        <w:rPr>
          <w:rFonts w:ascii="Arial" w:hAnsi="Arial" w:cs="Arial"/>
        </w:rPr>
      </w:pPr>
      <w:bookmarkStart w:id="1" w:name="_Hlk239668294"/>
      <w:r>
        <w:rPr>
          <w:rFonts w:eastAsia="Arial" w:cs="Arial" w:ascii="Arial" w:hAnsi="Arial"/>
        </w:rPr>
        <w:t xml:space="preserve">Die Unterschreitungsdauer gibt an, wie lange der Sauerstoffgehalt unter festgelegten Schwellenwerten liegt. </w:t>
      </w:r>
      <w:bookmarkStart w:id="2" w:name="_Hlk239668300"/>
      <w:bookmarkEnd w:id="1"/>
      <w:r>
        <w:rPr>
          <w:rFonts w:eastAsia="Arial" w:cs="Arial" w:ascii="Arial" w:hAnsi="Arial"/>
        </w:rPr>
        <w:t>Dabei werden verschiedene Sauerstoffkonzentrationen betrachtet, um sowohl leichte als auch starke Sauerstoffdefizite zu erfassen. Ein Sauerstoffgehalt unter 1,5 mg/L gilt als fischkritisch und kann zu Fischsterben führen.</w:t>
      </w:r>
      <w:bookmarkEnd w:id="2"/>
    </w:p>
    <w:p>
      <w:pPr>
        <w:pStyle w:val="Normal"/>
        <w:pBdr/>
        <w:rPr>
          <w:rFonts w:ascii="Arial" w:hAnsi="Arial" w:cs="Arial"/>
        </w:rPr>
      </w:pPr>
      <w:r>
        <w:rPr>
          <w:rFonts w:cs="Arial" w:ascii="Arial" w:hAnsi="Arial"/>
        </w:rPr>
      </w:r>
    </w:p>
    <w:p>
      <w:pPr>
        <w:pStyle w:val="Normal"/>
        <w:pBdr/>
        <w:rPr>
          <w:rFonts w:ascii="Arial" w:hAnsi="Arial" w:cs="Arial"/>
        </w:rPr>
      </w:pPr>
      <w:bookmarkStart w:id="3" w:name="_Hlk239668314"/>
      <w:r>
        <w:rPr>
          <w:rFonts w:eastAsia="Arial" w:cs="Arial" w:ascii="Arial" w:hAnsi="Arial"/>
        </w:rPr>
        <w:t>Die Anzahl kritischer O₂-Ereignisse beschreibt, wie häufig fischkritische Sauerstoffbedingungen auftreten. Als ein Ereignis wird dabei eine zusammenhängende Phase mit Sauerstoffkonzentrationen unter 1,5 mg/L gewertet. Erst nach einer Erholungsphase von mindestens fünf Tagen beginnt ein neues Ereignis.</w:t>
      </w:r>
      <w:bookmarkEnd w:id="3"/>
    </w:p>
    <w:p>
      <w:pPr>
        <w:pStyle w:val="Normal"/>
        <w:pBdr/>
        <w:rPr>
          <w:rFonts w:ascii="Arial" w:hAnsi="Arial" w:cs="Arial"/>
        </w:rPr>
      </w:pPr>
      <w:r>
        <w:rPr>
          <w:rFonts w:cs="Arial" w:ascii="Arial" w:hAnsi="Arial"/>
        </w:rPr>
      </w:r>
    </w:p>
    <w:p>
      <w:pPr>
        <w:pStyle w:val="Normal"/>
        <w:pBdr/>
        <w:rPr>
          <w:rFonts w:ascii="Arial" w:hAnsi="Arial" w:cs="Arial"/>
        </w:rPr>
      </w:pPr>
      <w:r>
        <w:rPr>
          <w:rFonts w:eastAsia="Arial" w:cs="Arial" w:ascii="Arial" w:hAnsi="Arial"/>
        </w:rPr>
        <w:t>Beide Kennwerte ermöglichen es, die Auswirkungen von Mischwasserüberläufen sowie die Wirksamkeit geplanter blau-grüner Infrastrukturmaßnahmen auf die Gewässerqualität zu bewerten. Je kürzer die Unterschreitungsdauer und je seltener kritische O₂-Ereignisse auftreten, desto geringer ist die Gewässerbelastung.</w:t>
      </w:r>
    </w:p>
    <w:p>
      <w:pPr>
        <w:pStyle w:val="Normal"/>
        <w:spacing w:before="0" w:after="200"/>
        <w:ind w:start="1080"/>
        <w:rPr>
          <w:rFonts w:ascii="Arial" w:hAnsi="Arial" w:cs="Arial"/>
        </w:rPr>
      </w:pPr>
      <w:r>
        <w:rPr>
          <w:rFonts w:cs="Arial" w:ascii="Arial" w:hAnsi="Arial"/>
        </w:rPr>
      </w:r>
    </w:p>
    <w:p>
      <w:pPr>
        <w:pStyle w:val="Heading4"/>
        <w:rPr>
          <w:sz w:val="20"/>
          <w:szCs w:val="20"/>
        </w:rPr>
      </w:pPr>
      <w:r>
        <w:rPr>
          <w:sz w:val="20"/>
          <w:szCs w:val="20"/>
        </w:rPr>
        <w:t>Stadtklima (Hitze)</w:t>
      </w:r>
    </w:p>
    <w:p>
      <w:pPr>
        <w:pStyle w:val="Heading5"/>
        <w:rPr>
          <w:color w:val="auto"/>
        </w:rPr>
      </w:pPr>
      <w:r>
        <w:rPr>
          <w:color w:val="auto"/>
        </w:rPr>
        <w:t>Wie wird die Wirkung von BGI-Maßnahmen auf das Stadtklima modelliert?</w:t>
      </w:r>
    </w:p>
    <w:p>
      <w:pPr>
        <w:pStyle w:val="Normal"/>
        <w:spacing w:before="0" w:after="200"/>
        <w:jc w:val="both"/>
        <w:rPr>
          <w:rFonts w:ascii="Arial" w:hAnsi="Arial" w:cs="Arial"/>
        </w:rPr>
      </w:pPr>
      <w:r>
        <w:rPr>
          <w:rFonts w:cs="Arial" w:ascii="Arial" w:hAnsi="Arial"/>
        </w:rPr>
        <w:t>Für die Stadtklimamodellierungen wurde der Ist-Zustand des Quartiers als Referenzszenario in der Mikroklimasimulationssoftware ENVI-met abgebildet: Das Modell (2,5 m Auflösung) wurde in QGIS aus Geodaten des Berliner Geoportals (u. a. Gebäude, Bäume, Grünflächen, Versiegelung) aufgebaut und mit den Messdaten der projekteigenen Wetterstation für zwei Kenntage, einen Sommertag (06.07.2025) und einen Hitzetag mit Tropennacht (15.08.2025), simuliert. Kalibriert wurde das Modell durch den iterativen Abgleich mit 6 im Gebiet installierten Temperatur- und Luftfeuchtigkeitssensoren.</w:t>
      </w:r>
    </w:p>
    <w:p>
      <w:pPr>
        <w:pStyle w:val="Heading5"/>
        <w:rPr>
          <w:color w:val="auto"/>
        </w:rPr>
      </w:pPr>
      <w:r>
        <w:rPr>
          <w:color w:val="auto"/>
        </w:rPr>
        <w:t>Wie können die Modellierungsergebnisse interpretiert werden?</w:t>
      </w:r>
    </w:p>
    <w:p>
      <w:pPr>
        <w:pStyle w:val="Normal"/>
        <w:spacing w:before="0" w:after="200"/>
        <w:rPr>
          <w:rFonts w:ascii="Arial" w:hAnsi="Arial" w:cs="Arial"/>
        </w:rPr>
      </w:pPr>
      <w:r>
        <w:rPr>
          <w:rFonts w:cs="Arial" w:ascii="Arial" w:hAnsi="Arial"/>
        </w:rPr>
        <w:t xml:space="preserve">Die vorliegenden Ergebnisse dienen als Orientierungshilfe und sollen </w:t>
      </w:r>
      <w:r>
        <w:rPr>
          <w:rFonts w:ascii="Arial" w:hAnsi="Arial"/>
        </w:rPr>
        <w:t xml:space="preserve">Nutzerinnen und Nutzer </w:t>
      </w:r>
      <w:r>
        <w:rPr>
          <w:rFonts w:cs="Arial" w:ascii="Arial" w:hAnsi="Arial"/>
        </w:rPr>
        <w:t>einen Eindruck vermitteln, wie sich einzelne Maßnahmen oder Maßnahmenkombinationen auf das Stadtklima auswirken können, am Beispiel eines dicht besiedelten Gründerzeitviertels. Eine direkte Übertragung der Ergebnisse auf andere Gebiete ist jedoch nicht möglich. Die Wirkung der Maßnahmen hängt von den tatsächlichen Randbedingungen des betrachteten Gebiets ab, wie beispielsweise der Höhe der Gebäude, der Vegetation, sowie der räumlichen Lage und Größe der jeweiligen Maßnahmen. Die dargestellten Ergebnisse zeigen eine Wirkungsrichtung und Größenordnung der untersuchten Maßnahme, ersetzen jedoch keine gebietsspezifische Modellierung.</w:t>
      </w:r>
    </w:p>
    <w:p>
      <w:pPr>
        <w:pStyle w:val="Normal"/>
        <w:spacing w:before="0" w:after="200"/>
        <w:jc w:val="both"/>
        <w:rPr>
          <w:rFonts w:ascii="Arial" w:hAnsi="Arial" w:cs="Arial"/>
        </w:rPr>
      </w:pPr>
      <w:r>
        <w:rPr>
          <w:rFonts w:cs="Arial" w:ascii="Arial" w:hAnsi="Arial"/>
        </w:rPr>
      </w:r>
    </w:p>
    <w:p>
      <w:pPr>
        <w:pStyle w:val="Normal"/>
        <w:spacing w:before="0" w:after="200"/>
        <w:rPr>
          <w:rFonts w:ascii="Arial" w:hAnsi="Arial" w:cs="Arial"/>
        </w:rPr>
      </w:pPr>
      <w:r>
        <w:rPr>
          <w:rFonts w:eastAsia="Arial" w:cs="Arial" w:ascii="Arial" w:hAnsi="Arial"/>
          <w:i/>
          <w:iCs/>
        </w:rPr>
        <w:t>Starkregen (Überflutung)</w:t>
      </w:r>
    </w:p>
    <w:p>
      <w:pPr>
        <w:pStyle w:val="Heading5"/>
        <w:rPr>
          <w:color w:val="auto"/>
        </w:rPr>
      </w:pPr>
      <w:r>
        <w:rPr>
          <w:color w:val="auto"/>
        </w:rPr>
        <w:t>Wie wird die Wirkung von BGI-Maßnahmen auf die Starkregengefahr und die Überflutung modelliert?</w:t>
      </w:r>
    </w:p>
    <w:p>
      <w:pPr>
        <w:pStyle w:val="Normal"/>
        <w:spacing w:before="0" w:after="200"/>
        <w:rPr>
          <w:rFonts w:ascii="Arial" w:hAnsi="Arial" w:cs="Arial"/>
        </w:rPr>
      </w:pPr>
      <w:r>
        <w:rPr>
          <w:rFonts w:cs="Arial" w:ascii="Arial" w:hAnsi="Arial"/>
        </w:rPr>
        <w:t xml:space="preserve">Die vorliegenden Ergebnisse dienen als Orientierungshilfe und sollen </w:t>
      </w:r>
      <w:r>
        <w:rPr>
          <w:rFonts w:ascii="Arial" w:hAnsi="Arial"/>
        </w:rPr>
        <w:t xml:space="preserve">Nutzerinnen und Nutzer </w:t>
      </w:r>
      <w:r>
        <w:rPr>
          <w:rFonts w:cs="Arial" w:ascii="Arial" w:hAnsi="Arial"/>
        </w:rPr>
        <w:t>einen Eindruck vermitteln, wie sich einzelne Maßnahmen oder Maßnahmenkombinationen auf Abflussprozesse und Überflutungen auswirken können. Eine direkte Übertragung der Ergebnisse auf andere Einzugsgebiete ist jedoch nicht möglich. Die Wirkung der Maßnahmen hängt von den tatsächlichen Randbedingungen des betrachteten Gebiets ab, wie beispielsweise der Topografie, den Bodenverhältnissen, dem vorliegenden Kanalnetz sowie der räumlichen Lage und Größe der jeweiligen Maßnahmen. Die dargestellten Ergebnisse zeigen eine Wirkungsrichtung und Größenordnung der untersuchten Maßnahme, ersetzen jedoch keine gebietsspezifische Modellierung.</w:t>
      </w:r>
    </w:p>
    <w:p>
      <w:pPr>
        <w:pStyle w:val="Heading5"/>
        <w:rPr>
          <w:color w:val="auto"/>
        </w:rPr>
      </w:pPr>
      <w:r>
        <w:rPr>
          <w:color w:val="auto"/>
        </w:rPr>
        <w:t>Wie können die Modellierungsergebnisse interpretiert werden?</w:t>
      </w:r>
    </w:p>
    <w:p>
      <w:pPr>
        <w:pStyle w:val="Normal"/>
        <w:spacing w:before="0" w:after="200"/>
        <w:rPr>
          <w:rFonts w:ascii="Arial" w:hAnsi="Arial" w:cs="Arial"/>
        </w:rPr>
      </w:pPr>
      <w:r>
        <w:rPr>
          <w:rFonts w:cs="Arial" w:ascii="Arial" w:hAnsi="Arial"/>
        </w:rPr>
        <w:t>Bei der Interpretation der Ergebnisse ist außerdem zwischen der lokalen und gebietsweiten Wirkung von Maßnahmen zu unterschieden. Einzelne Maßnahmen können gezielt dazu eingesetzt werden, die Starkregengefährdung an einem bestimmten Ort zu reduzieren; auf der Ebene des gesamten Einzugsgebiets jedoch zusätzlich einen übergeordneten Beitrag leisten. Durch die Rückhaltung, Speicherung und Versickerung von Niederschlagswasser wird der Oberflächenabfluss insgesamt reduziert und zeitlich verzögert. Dadurch können sich Abflussspitzen im Kanalnetz sowie die Überflutungsgefährdung im Einzugsgebiet verringern. Die Wirkung einzelner Maßnahmen entfaltet sich dabei jedoch häufig erst im Zusammenspiel mit weiteren Maßnahmen an unterschiedlichen Standorten. Für eine nachhaltige Starkregenvorsorge ist daher neben einer lokalen Gefährdungsminderung eine flächendeckende Umsetzung geeigneter Maßnahmen im gesamten Einzugsgebiet von Bedeutung.</w:t>
      </w:r>
    </w:p>
    <w:p>
      <w:pPr>
        <w:pStyle w:val="Heading2"/>
        <w:rPr>
          <w:rFonts w:cs="Arial"/>
        </w:rPr>
      </w:pPr>
      <w:r>
        <w:rPr>
          <w:rFonts w:eastAsia="Arial" w:cs="Arial"/>
        </w:rPr>
        <w:t>Literatur</w:t>
      </w:r>
    </w:p>
    <w:p>
      <w:pPr>
        <w:pStyle w:val="Normal"/>
        <w:widowControl w:val="false"/>
        <w:spacing w:before="120" w:after="0"/>
        <w:ind w:hanging="284" w:start="284"/>
        <w:jc w:val="both"/>
        <w:rPr>
          <w:rFonts w:ascii="Arial" w:hAnsi="Arial" w:cs="Arial"/>
          <w:szCs w:val="28"/>
          <w:lang w:val="en-GB" w:eastAsia="fr-FR"/>
        </w:rPr>
      </w:pPr>
      <w:r>
        <w:rPr>
          <w:rFonts w:cs="Arial" w:ascii="Arial" w:hAnsi="Arial"/>
          <w:szCs w:val="28"/>
          <w:lang w:eastAsia="fr-FR"/>
        </w:rPr>
        <w:t xml:space="preserve">Del Punta, F., Sonnenberg, H., Guericke, L., Kolesch, D., Haag, L., Schwab, L. and Matzinger, A. (2024). </w:t>
      </w:r>
      <w:r>
        <w:rPr>
          <w:rFonts w:cs="Arial" w:ascii="Arial" w:hAnsi="Arial"/>
          <w:i/>
          <w:iCs/>
          <w:szCs w:val="28"/>
          <w:lang w:val="en-GB" w:eastAsia="fr-FR"/>
        </w:rPr>
        <w:t>Adaptation and Transfer of the Urban Water Balance Model ABIMO</w:t>
      </w:r>
      <w:r>
        <w:rPr>
          <w:rFonts w:cs="Arial" w:ascii="Arial" w:hAnsi="Arial"/>
          <w:szCs w:val="28"/>
          <w:lang w:val="en-GB" w:eastAsia="fr-FR"/>
        </w:rPr>
        <w:t>. Conference paper, 16th International Conference on Urban Drainage, Delft, 2024.</w:t>
      </w:r>
    </w:p>
    <w:p>
      <w:pPr>
        <w:pStyle w:val="Normal"/>
        <w:widowControl w:val="false"/>
        <w:spacing w:before="120" w:after="0"/>
        <w:ind w:hanging="284" w:start="284"/>
        <w:jc w:val="both"/>
        <w:rPr>
          <w:rFonts w:ascii="Arial" w:hAnsi="Arial" w:cs="Arial"/>
          <w:szCs w:val="24"/>
          <w:lang w:val="en-GB" w:eastAsia="fr-FR"/>
        </w:rPr>
      </w:pPr>
      <w:r>
        <w:rPr>
          <w:rFonts w:cs="Arial" w:ascii="Arial" w:hAnsi="Arial"/>
          <w:szCs w:val="24"/>
          <w:lang w:eastAsia="fr-FR"/>
        </w:rPr>
        <w:t xml:space="preserve">Knoche, F., Schumacher, F., Zamzow, M., Sohrt, J., Rehfeld-Klein, M., Matzinger, A., Johne, U., Meier, I., Rouault, P., Pawlowsky-Reusing, E. und Schütz, P. (2024). </w:t>
      </w:r>
      <w:r>
        <w:rPr>
          <w:rFonts w:cs="Arial" w:ascii="Arial" w:hAnsi="Arial"/>
          <w:i/>
          <w:iCs/>
          <w:szCs w:val="24"/>
          <w:lang w:eastAsia="fr-FR"/>
        </w:rPr>
        <w:t>Perspektiven für den urbanen Gewässerschutz durch dezentrales Regenwassermanagement</w:t>
      </w:r>
      <w:r>
        <w:rPr>
          <w:rFonts w:cs="Arial" w:ascii="Arial" w:hAnsi="Arial"/>
          <w:szCs w:val="24"/>
          <w:lang w:eastAsia="fr-FR"/>
        </w:rPr>
        <w:t xml:space="preserve">. </w:t>
      </w:r>
      <w:r>
        <w:rPr>
          <w:rFonts w:cs="Arial" w:ascii="Arial" w:hAnsi="Arial"/>
          <w:szCs w:val="24"/>
          <w:lang w:val="en-GB" w:eastAsia="fr-FR"/>
        </w:rPr>
        <w:t xml:space="preserve">Conference paper, Aqua Urbanica 2024, Scientific Board der Aqua Urbanica, Graz, </w:t>
      </w:r>
      <w:hyperlink r:id="rId11">
        <w:r>
          <w:rPr>
            <w:rStyle w:val="Hyperlink"/>
            <w:rFonts w:cs="Arial" w:ascii="Arial" w:hAnsi="Arial"/>
            <w:szCs w:val="24"/>
            <w:lang w:val="en-GB" w:eastAsia="fr-FR"/>
          </w:rPr>
          <w:t>https://doi.org/10.3217/zk750-h5420</w:t>
        </w:r>
      </w:hyperlink>
      <w:r>
        <w:rPr>
          <w:rFonts w:cs="Arial" w:ascii="Arial" w:hAnsi="Arial"/>
          <w:szCs w:val="24"/>
          <w:lang w:val="en-GB" w:eastAsia="fr-FR"/>
        </w:rPr>
        <w:t>.</w:t>
      </w:r>
    </w:p>
    <w:p>
      <w:pPr>
        <w:pStyle w:val="Normal"/>
        <w:widowControl w:val="false"/>
        <w:spacing w:before="120" w:after="0"/>
        <w:ind w:hanging="284" w:start="284"/>
        <w:jc w:val="both"/>
        <w:rPr>
          <w:rFonts w:ascii="Arial" w:hAnsi="Arial" w:cs="Arial"/>
          <w:szCs w:val="24"/>
          <w:lang w:eastAsia="fr-FR"/>
        </w:rPr>
      </w:pPr>
      <w:r>
        <w:rPr>
          <w:rStyle w:val="Hyperlink"/>
          <w:rFonts w:cs="Arial" w:ascii="Arial" w:hAnsi="Arial"/>
          <w:color w:val="auto"/>
          <w:szCs w:val="24"/>
          <w:u w:val="none"/>
          <w:lang w:val="en-GB" w:eastAsia="fr-FR"/>
        </w:rPr>
        <w:t xml:space="preserve">Rachimow, C. and Rachimow, M. (2009). </w:t>
      </w:r>
      <w:r>
        <w:rPr>
          <w:rStyle w:val="Hyperlink"/>
          <w:rFonts w:cs="Arial" w:ascii="Arial" w:hAnsi="Arial"/>
          <w:i/>
          <w:iCs/>
          <w:color w:val="auto"/>
          <w:szCs w:val="24"/>
          <w:u w:val="none"/>
          <w:lang w:eastAsia="fr-FR"/>
        </w:rPr>
        <w:t>ABIMO3.2 – Abflussbildungsmodell</w:t>
      </w:r>
      <w:r>
        <w:rPr>
          <w:rStyle w:val="Hyperlink"/>
          <w:rFonts w:cs="Arial" w:ascii="Arial" w:hAnsi="Arial"/>
          <w:color w:val="auto"/>
          <w:szCs w:val="24"/>
          <w:u w:val="none"/>
          <w:lang w:eastAsia="fr-FR"/>
        </w:rPr>
        <w:t>.</w:t>
      </w:r>
      <w:r>
        <w:rPr>
          <w:rStyle w:val="Hyperlink"/>
          <w:rFonts w:cs="Arial" w:ascii="Arial" w:hAnsi="Arial"/>
          <w:i/>
          <w:iCs/>
          <w:color w:val="auto"/>
          <w:szCs w:val="24"/>
          <w:u w:val="none"/>
          <w:lang w:eastAsia="fr-FR"/>
        </w:rPr>
        <w:t xml:space="preserve"> Algorithmus zum BAGROV-GLUGLA-Verfahren für die Berechnung langjähriger Mittelwerte des Wasserhaushalts (Version 3.2), Beschreibung des Verfahrens zur Behandlung grundstücksbezogener Daten. </w:t>
      </w:r>
      <w:r>
        <w:rPr>
          <w:rStyle w:val="Hyperlink"/>
          <w:rFonts w:cs="Arial" w:ascii="Arial" w:hAnsi="Arial"/>
          <w:color w:val="auto"/>
          <w:szCs w:val="24"/>
          <w:u w:val="none"/>
          <w:lang w:eastAsia="fr-FR"/>
        </w:rPr>
        <w:t>Werder.</w:t>
      </w:r>
    </w:p>
    <w:sectPr>
      <w:headerReference w:type="even" r:id="rId12"/>
      <w:headerReference w:type="default" r:id="rId13"/>
      <w:headerReference w:type="first" r:id="rId14"/>
      <w:footerReference w:type="even" r:id="rId15"/>
      <w:footerReference w:type="default" r:id="rId16"/>
      <w:footerReference w:type="first" r:id="rId17"/>
      <w:type w:val="nextPage"/>
      <w:pgSz w:w="11906" w:h="16838"/>
      <w:pgMar w:left="1701" w:right="1134" w:gutter="0" w:header="720" w:top="1134" w:footer="720"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G Times">
    <w:charset w:val="01"/>
    <w:family w:val="roman"/>
    <w:pitch w:val="variable"/>
  </w:font>
  <w:font w:name="Arial">
    <w:charset w:val="01"/>
    <w:family w:val="swiss"/>
    <w:pitch w:val="variable"/>
  </w:font>
  <w:font w:name="Tahoma">
    <w:charset w:val="01"/>
    <w:family w:val="swiss"/>
    <w:pitch w:val="variable"/>
  </w:font>
  <w:font w:name="Consolas">
    <w:charset w:val="01"/>
    <w:family w:val="roman"/>
    <w:pitch w:val="variable"/>
  </w:font>
  <w:font w:name="Liberation Sans">
    <w:altName w:val="Arial"/>
    <w:charset w:val="01"/>
    <w:family w:val="swiss"/>
    <w:pitch w:val="variable"/>
  </w:font>
  <w:font w:name="Courier">
    <w:altName w:val="Courier New"/>
    <w:charset w:val="01"/>
    <w:family w:val="roman"/>
    <w:pitch w:val="variable"/>
  </w:font>
  <w:font w:name="CG Times (W1)">
    <w:charset w:val="01"/>
    <w:family w:val="roman"/>
    <w:pitch w:val="variable"/>
  </w:font>
  <w:font w:name="Calibri">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rPr>
    </w:pPr>
    <w:r>
      <w:rPr>
        <w:rStyle w:val="PageNumber"/>
        <w:rFonts w:cs="Arial" w:ascii="Arial" w:hAnsi="Arial"/>
      </w:rPr>
      <w:fldChar w:fldCharType="begin"/>
    </w:r>
    <w:r>
      <w:rPr>
        <w:rStyle w:val="PageNumber"/>
        <w:rFonts w:cs="Arial" w:ascii="Arial" w:hAnsi="Arial"/>
      </w:rPr>
      <w:instrText xml:space="preserve"> PAGE </w:instrText>
    </w:r>
    <w:r>
      <w:rPr>
        <w:rStyle w:val="PageNumber"/>
        <w:rFonts w:cs="Arial" w:ascii="Arial" w:hAnsi="Arial"/>
      </w:rPr>
      <w:fldChar w:fldCharType="separate"/>
    </w:r>
    <w:r>
      <w:rPr>
        <w:rStyle w:val="PageNumber"/>
        <w:rFonts w:cs="Arial" w:ascii="Arial" w:hAnsi="Arial"/>
      </w:rPr>
      <w:t>8</w:t>
    </w:r>
    <w:r>
      <w:rPr>
        <w:rStyle w:val="PageNumber"/>
        <w:rFonts w:cs="Arial" w:ascii="Arial" w:hAnsi="Arial"/>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rPr>
    </w:pPr>
    <w:r>
      <w:rPr>
        <w:rStyle w:val="PageNumber"/>
        <w:rFonts w:cs="Arial" w:ascii="Arial" w:hAnsi="Arial"/>
      </w:rPr>
      <w:fldChar w:fldCharType="begin"/>
    </w:r>
    <w:r>
      <w:rPr>
        <w:rStyle w:val="PageNumber"/>
        <w:rFonts w:cs="Arial" w:ascii="Arial" w:hAnsi="Arial"/>
      </w:rPr>
      <w:instrText xml:space="preserve"> PAGE </w:instrText>
    </w:r>
    <w:r>
      <w:rPr>
        <w:rStyle w:val="PageNumber"/>
        <w:rFonts w:cs="Arial" w:ascii="Arial" w:hAnsi="Arial"/>
      </w:rPr>
      <w:fldChar w:fldCharType="separate"/>
    </w:r>
    <w:r>
      <w:rPr>
        <w:rStyle w:val="PageNumber"/>
        <w:rFonts w:cs="Arial" w:ascii="Arial" w:hAnsi="Arial"/>
      </w:rPr>
      <w:t>1</w:t>
    </w:r>
    <w:r>
      <w:rPr>
        <w:rStyle w:val="PageNumber"/>
        <w:rFonts w:cs="Arial" w:ascii="Arial" w:hAnsi="Arial"/>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object>
        <v:shapetype id="_x0000_tole_rId1" coordsize="21600,21600" o:spt="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 type="_x0000_tole_rId1" style="width:252.5pt;height:42.5pt;mso-wrap-distance-right:0pt" filled="f" o:ole="">
          <v:imagedata r:id="rId2" o:title=""/>
        </v:shape>
        <o:OLEObject Type="Embed" ProgID="Unknown" ShapeID="ole_rId1" DrawAspect="Content" ObjectID="_2084462514" r:id="rId1"/>
      </w:objec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0" w:hanging="360"/>
      </w:pPr>
      <w:rPr>
        <w:rFonts w:ascii="Arial" w:hAnsi="Arial" w:cs="Aria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7">
    <w:lvl w:ilvl="0">
      <w:start w:val="1"/>
      <w:numFmt w:val="bullet"/>
      <w:lvlText w:val="·"/>
      <w:lvlJc w:val="start"/>
      <w:pPr>
        <w:tabs>
          <w:tab w:val="num" w:pos="0"/>
        </w:tabs>
        <w:ind w:start="709" w:hanging="360"/>
      </w:pPr>
      <w:rPr>
        <w:rFonts w:ascii="Symbol" w:hAnsi="Symbol" w:cs="Symbol" w:hint="default"/>
      </w:rPr>
    </w:lvl>
    <w:lvl w:ilvl="1">
      <w:start w:val="1"/>
      <w:numFmt w:val="bullet"/>
      <w:lvlText w:val="o"/>
      <w:lvlJc w:val="start"/>
      <w:pPr>
        <w:tabs>
          <w:tab w:val="num" w:pos="0"/>
        </w:tabs>
        <w:ind w:start="1429" w:hanging="360"/>
      </w:pPr>
      <w:rPr>
        <w:rFonts w:ascii="Courier New" w:hAnsi="Courier New" w:cs="Courier New" w:hint="default"/>
      </w:rPr>
    </w:lvl>
    <w:lvl w:ilvl="2">
      <w:start w:val="1"/>
      <w:numFmt w:val="bullet"/>
      <w:lvlText w:val="§"/>
      <w:lvlJc w:val="start"/>
      <w:pPr>
        <w:tabs>
          <w:tab w:val="num" w:pos="0"/>
        </w:tabs>
        <w:ind w:start="2149" w:hanging="360"/>
      </w:pPr>
      <w:rPr>
        <w:rFonts w:ascii="Wingdings" w:hAnsi="Wingdings" w:cs="Wingdings" w:hint="default"/>
      </w:rPr>
    </w:lvl>
    <w:lvl w:ilvl="3">
      <w:start w:val="1"/>
      <w:numFmt w:val="bullet"/>
      <w:lvlText w:val="·"/>
      <w:lvlJc w:val="start"/>
      <w:pPr>
        <w:tabs>
          <w:tab w:val="num" w:pos="0"/>
        </w:tabs>
        <w:ind w:start="2869" w:hanging="360"/>
      </w:pPr>
      <w:rPr>
        <w:rFonts w:ascii="Symbol" w:hAnsi="Symbol" w:cs="Symbol" w:hint="default"/>
      </w:rPr>
    </w:lvl>
    <w:lvl w:ilvl="4">
      <w:start w:val="1"/>
      <w:numFmt w:val="bullet"/>
      <w:lvlText w:val="o"/>
      <w:lvlJc w:val="start"/>
      <w:pPr>
        <w:tabs>
          <w:tab w:val="num" w:pos="0"/>
        </w:tabs>
        <w:ind w:start="3589" w:hanging="360"/>
      </w:pPr>
      <w:rPr>
        <w:rFonts w:ascii="Courier New" w:hAnsi="Courier New" w:cs="Courier New" w:hint="default"/>
      </w:rPr>
    </w:lvl>
    <w:lvl w:ilvl="5">
      <w:start w:val="1"/>
      <w:numFmt w:val="bullet"/>
      <w:lvlText w:val="§"/>
      <w:lvlJc w:val="start"/>
      <w:pPr>
        <w:tabs>
          <w:tab w:val="num" w:pos="0"/>
        </w:tabs>
        <w:ind w:start="4309" w:hanging="360"/>
      </w:pPr>
      <w:rPr>
        <w:rFonts w:ascii="Wingdings" w:hAnsi="Wingdings" w:cs="Wingdings" w:hint="default"/>
      </w:rPr>
    </w:lvl>
    <w:lvl w:ilvl="6">
      <w:start w:val="1"/>
      <w:numFmt w:val="bullet"/>
      <w:lvlText w:val="·"/>
      <w:lvlJc w:val="start"/>
      <w:pPr>
        <w:tabs>
          <w:tab w:val="num" w:pos="0"/>
        </w:tabs>
        <w:ind w:start="5029" w:hanging="360"/>
      </w:pPr>
      <w:rPr>
        <w:rFonts w:ascii="Symbol" w:hAnsi="Symbol" w:cs="Symbol" w:hint="default"/>
      </w:rPr>
    </w:lvl>
    <w:lvl w:ilvl="7">
      <w:start w:val="1"/>
      <w:numFmt w:val="bullet"/>
      <w:lvlText w:val="o"/>
      <w:lvlJc w:val="start"/>
      <w:pPr>
        <w:tabs>
          <w:tab w:val="num" w:pos="0"/>
        </w:tabs>
        <w:ind w:start="5749" w:hanging="360"/>
      </w:pPr>
      <w:rPr>
        <w:rFonts w:ascii="Courier New" w:hAnsi="Courier New" w:cs="Courier New" w:hint="default"/>
      </w:rPr>
    </w:lvl>
    <w:lvl w:ilvl="8">
      <w:start w:val="1"/>
      <w:numFmt w:val="bullet"/>
      <w:lvlText w:val="§"/>
      <w:lvlJc w:val="start"/>
      <w:pPr>
        <w:tabs>
          <w:tab w:val="num" w:pos="0"/>
        </w:tabs>
        <w:ind w:start="6469" w:hanging="360"/>
      </w:pPr>
      <w:rPr>
        <w:rFonts w:ascii="Wingdings" w:hAnsi="Wingdings" w:cs="Wingdings" w:hint="default"/>
      </w:rPr>
    </w:lvl>
  </w:abstractNum>
  <w:abstractNum w:abstractNumId="8">
    <w:lvl w:ilvl="0">
      <w:start w:val="1"/>
      <w:numFmt w:val="decimal"/>
      <w:lvlText w:val="%1."/>
      <w:lvlJc w:val="start"/>
      <w:pPr>
        <w:tabs>
          <w:tab w:val="num" w:pos="0"/>
        </w:tabs>
        <w:ind w:start="709" w:hanging="360"/>
      </w:pPr>
      <w:rPr/>
    </w:lvl>
    <w:lvl w:ilvl="1">
      <w:start w:val="1"/>
      <w:numFmt w:val="lowerLetter"/>
      <w:lvlText w:val="%2."/>
      <w:lvlJc w:val="start"/>
      <w:pPr>
        <w:tabs>
          <w:tab w:val="num" w:pos="0"/>
        </w:tabs>
        <w:ind w:start="1429" w:hanging="360"/>
      </w:pPr>
      <w:rPr/>
    </w:lvl>
    <w:lvl w:ilvl="2">
      <w:start w:val="1"/>
      <w:numFmt w:val="lowerRoman"/>
      <w:lvlText w:val="%3."/>
      <w:lvlJc w:val="end"/>
      <w:pPr>
        <w:tabs>
          <w:tab w:val="num" w:pos="0"/>
        </w:tabs>
        <w:ind w:start="2149" w:hanging="180"/>
      </w:pPr>
      <w:rPr/>
    </w:lvl>
    <w:lvl w:ilvl="3">
      <w:start w:val="1"/>
      <w:numFmt w:val="decimal"/>
      <w:lvlText w:val="%4."/>
      <w:lvlJc w:val="start"/>
      <w:pPr>
        <w:tabs>
          <w:tab w:val="num" w:pos="0"/>
        </w:tabs>
        <w:ind w:start="2869" w:hanging="360"/>
      </w:pPr>
      <w:rPr/>
    </w:lvl>
    <w:lvl w:ilvl="4">
      <w:start w:val="1"/>
      <w:numFmt w:val="lowerLetter"/>
      <w:lvlText w:val="%5."/>
      <w:lvlJc w:val="start"/>
      <w:pPr>
        <w:tabs>
          <w:tab w:val="num" w:pos="0"/>
        </w:tabs>
        <w:ind w:start="3589" w:hanging="360"/>
      </w:pPr>
      <w:rPr/>
    </w:lvl>
    <w:lvl w:ilvl="5">
      <w:start w:val="1"/>
      <w:numFmt w:val="lowerRoman"/>
      <w:lvlText w:val="%6."/>
      <w:lvlJc w:val="end"/>
      <w:pPr>
        <w:tabs>
          <w:tab w:val="num" w:pos="0"/>
        </w:tabs>
        <w:ind w:start="4309" w:hanging="180"/>
      </w:pPr>
      <w:rPr/>
    </w:lvl>
    <w:lvl w:ilvl="6">
      <w:start w:val="1"/>
      <w:numFmt w:val="decimal"/>
      <w:lvlText w:val="%7."/>
      <w:lvlJc w:val="start"/>
      <w:pPr>
        <w:tabs>
          <w:tab w:val="num" w:pos="0"/>
        </w:tabs>
        <w:ind w:start="5029" w:hanging="360"/>
      </w:pPr>
      <w:rPr/>
    </w:lvl>
    <w:lvl w:ilvl="7">
      <w:start w:val="1"/>
      <w:numFmt w:val="lowerLetter"/>
      <w:lvlText w:val="%8."/>
      <w:lvlJc w:val="start"/>
      <w:pPr>
        <w:tabs>
          <w:tab w:val="num" w:pos="0"/>
        </w:tabs>
        <w:ind w:start="5749" w:hanging="360"/>
      </w:pPr>
      <w:rPr/>
    </w:lvl>
    <w:lvl w:ilvl="8">
      <w:start w:val="1"/>
      <w:numFmt w:val="lowerRoman"/>
      <w:lvlText w:val="%9."/>
      <w:lvlJc w:val="end"/>
      <w:pPr>
        <w:tabs>
          <w:tab w:val="num" w:pos="0"/>
        </w:tabs>
        <w:ind w:start="6469" w:hanging="180"/>
      </w:pPr>
      <w:rPr/>
    </w:lvl>
  </w:abstractNum>
  <w:abstractNum w:abstractNumId="9">
    <w:lvl w:ilvl="0">
      <w:start w:val="1"/>
      <w:numFmt w:val="bullet"/>
      <w:lvlText w:val="–"/>
      <w:lvlJc w:val="start"/>
      <w:pPr>
        <w:tabs>
          <w:tab w:val="num" w:pos="0"/>
        </w:tabs>
        <w:ind w:start="709" w:hanging="360"/>
      </w:pPr>
      <w:rPr>
        <w:rFonts w:ascii="Arial" w:hAnsi="Arial" w:cs="Arial" w:hint="default"/>
      </w:rPr>
    </w:lvl>
    <w:lvl w:ilvl="1">
      <w:start w:val="1"/>
      <w:numFmt w:val="bullet"/>
      <w:lvlText w:val="o"/>
      <w:lvlJc w:val="start"/>
      <w:pPr>
        <w:tabs>
          <w:tab w:val="num" w:pos="0"/>
        </w:tabs>
        <w:ind w:start="1429" w:hanging="360"/>
      </w:pPr>
      <w:rPr>
        <w:rFonts w:ascii="Courier New" w:hAnsi="Courier New" w:cs="Courier New" w:hint="default"/>
      </w:rPr>
    </w:lvl>
    <w:lvl w:ilvl="2">
      <w:start w:val="1"/>
      <w:numFmt w:val="bullet"/>
      <w:lvlText w:val="§"/>
      <w:lvlJc w:val="start"/>
      <w:pPr>
        <w:tabs>
          <w:tab w:val="num" w:pos="0"/>
        </w:tabs>
        <w:ind w:start="2149" w:hanging="360"/>
      </w:pPr>
      <w:rPr>
        <w:rFonts w:ascii="Wingdings" w:hAnsi="Wingdings" w:cs="Wingdings" w:hint="default"/>
      </w:rPr>
    </w:lvl>
    <w:lvl w:ilvl="3">
      <w:start w:val="1"/>
      <w:numFmt w:val="bullet"/>
      <w:lvlText w:val="·"/>
      <w:lvlJc w:val="start"/>
      <w:pPr>
        <w:tabs>
          <w:tab w:val="num" w:pos="0"/>
        </w:tabs>
        <w:ind w:start="2869" w:hanging="360"/>
      </w:pPr>
      <w:rPr>
        <w:rFonts w:ascii="Symbol" w:hAnsi="Symbol" w:cs="Symbol" w:hint="default"/>
      </w:rPr>
    </w:lvl>
    <w:lvl w:ilvl="4">
      <w:start w:val="1"/>
      <w:numFmt w:val="bullet"/>
      <w:lvlText w:val="o"/>
      <w:lvlJc w:val="start"/>
      <w:pPr>
        <w:tabs>
          <w:tab w:val="num" w:pos="0"/>
        </w:tabs>
        <w:ind w:start="3589" w:hanging="360"/>
      </w:pPr>
      <w:rPr>
        <w:rFonts w:ascii="Courier New" w:hAnsi="Courier New" w:cs="Courier New" w:hint="default"/>
      </w:rPr>
    </w:lvl>
    <w:lvl w:ilvl="5">
      <w:start w:val="1"/>
      <w:numFmt w:val="bullet"/>
      <w:lvlText w:val="§"/>
      <w:lvlJc w:val="start"/>
      <w:pPr>
        <w:tabs>
          <w:tab w:val="num" w:pos="0"/>
        </w:tabs>
        <w:ind w:start="4309" w:hanging="360"/>
      </w:pPr>
      <w:rPr>
        <w:rFonts w:ascii="Wingdings" w:hAnsi="Wingdings" w:cs="Wingdings" w:hint="default"/>
      </w:rPr>
    </w:lvl>
    <w:lvl w:ilvl="6">
      <w:start w:val="1"/>
      <w:numFmt w:val="bullet"/>
      <w:lvlText w:val="·"/>
      <w:lvlJc w:val="start"/>
      <w:pPr>
        <w:tabs>
          <w:tab w:val="num" w:pos="0"/>
        </w:tabs>
        <w:ind w:start="5029" w:hanging="360"/>
      </w:pPr>
      <w:rPr>
        <w:rFonts w:ascii="Symbol" w:hAnsi="Symbol" w:cs="Symbol" w:hint="default"/>
      </w:rPr>
    </w:lvl>
    <w:lvl w:ilvl="7">
      <w:start w:val="1"/>
      <w:numFmt w:val="bullet"/>
      <w:lvlText w:val="o"/>
      <w:lvlJc w:val="start"/>
      <w:pPr>
        <w:tabs>
          <w:tab w:val="num" w:pos="0"/>
        </w:tabs>
        <w:ind w:start="5749" w:hanging="360"/>
      </w:pPr>
      <w:rPr>
        <w:rFonts w:ascii="Courier New" w:hAnsi="Courier New" w:cs="Courier New" w:hint="default"/>
      </w:rPr>
    </w:lvl>
    <w:lvl w:ilvl="8">
      <w:start w:val="1"/>
      <w:numFmt w:val="bullet"/>
      <w:lvlText w:val="§"/>
      <w:lvlJc w:val="start"/>
      <w:pPr>
        <w:tabs>
          <w:tab w:val="num" w:pos="0"/>
        </w:tabs>
        <w:ind w:start="6469"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50"/>
  <w:defaultTabStop w:val="720"/>
  <w:autoHyphenation w:val="true"/>
  <w:hyphenationZone w:val="0"/>
  <w:doNotHyphenateCaps/>
  <w:compat>
    <w:balanceSingleByteDoubleByteWidth/>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CG Times" w:hAnsi="CG Times" w:eastAsia="Times New Roman" w:cs="Times New Roman"/>
      <w:color w:val="auto"/>
      <w:kern w:val="0"/>
      <w:sz w:val="20"/>
      <w:szCs w:val="20"/>
      <w:lang w:val="de-DE" w:eastAsia="de-DE" w:bidi="ar-SA"/>
    </w:rPr>
  </w:style>
  <w:style w:type="paragraph" w:styleId="Heading1">
    <w:name w:val="heading 1"/>
    <w:basedOn w:val="Normal"/>
    <w:next w:val="Normal"/>
    <w:link w:val="berschrift1Zchn"/>
    <w:qFormat/>
    <w:pPr>
      <w:keepNext w:val="true"/>
      <w:keepLines/>
      <w:pBdr>
        <w:top w:val="single" w:sz="6" w:space="2" w:color="000000"/>
        <w:left w:val="single" w:sz="6" w:space="2" w:color="000000"/>
        <w:bottom w:val="single" w:sz="6" w:space="2" w:color="000000"/>
        <w:right w:val="single" w:sz="6" w:space="2" w:color="000000"/>
      </w:pBdr>
      <w:spacing w:lineRule="atLeast" w:line="240" w:before="240" w:after="240"/>
      <w:jc w:val="both"/>
      <w:outlineLvl w:val="0"/>
    </w:pPr>
    <w:rPr>
      <w:rFonts w:ascii="Arial" w:hAnsi="Arial"/>
      <w:b/>
      <w:color w:val="000000"/>
      <w:sz w:val="48"/>
    </w:rPr>
  </w:style>
  <w:style w:type="paragraph" w:styleId="Heading2">
    <w:name w:val="heading 2"/>
    <w:basedOn w:val="Normal"/>
    <w:next w:val="Normal"/>
    <w:link w:val="berschrift2Zchn"/>
    <w:qFormat/>
    <w:pPr>
      <w:keepNext w:val="true"/>
      <w:keepLines/>
      <w:shd w:val="pct20" w:color="auto" w:fill="auto"/>
      <w:spacing w:before="120" w:after="120"/>
      <w:outlineLvl w:val="1"/>
    </w:pPr>
    <w:rPr>
      <w:rFonts w:ascii="Arial" w:hAnsi="Arial"/>
      <w:sz w:val="36"/>
    </w:rPr>
  </w:style>
  <w:style w:type="paragraph" w:styleId="Heading3">
    <w:name w:val="heading 3"/>
    <w:basedOn w:val="Heading2"/>
    <w:next w:val="Normal"/>
    <w:link w:val="berschrift3Zchn"/>
    <w:qFormat/>
    <w:pPr>
      <w:shd w:val="clear" w:color="auto" w:fill="auto"/>
      <w:outlineLvl w:val="2"/>
    </w:pPr>
    <w:rPr>
      <w:sz w:val="28"/>
    </w:rPr>
  </w:style>
  <w:style w:type="paragraph" w:styleId="Heading4">
    <w:name w:val="heading 4"/>
    <w:basedOn w:val="Normal"/>
    <w:next w:val="Normal"/>
    <w:link w:val="berschrift4Zchn"/>
    <w:uiPriority w:val="9"/>
    <w:unhideWhenUsed/>
    <w:qFormat/>
    <w:pPr>
      <w:keepNext w:val="true"/>
      <w:keepLines/>
      <w:spacing w:before="80" w:after="40"/>
      <w:outlineLvl w:val="3"/>
    </w:pPr>
    <w:rPr>
      <w:rFonts w:ascii="Arial" w:hAnsi="Arial" w:eastAsia="Arial" w:cs="Arial"/>
      <w:i/>
      <w:iCs/>
      <w:sz w:val="22"/>
      <w:szCs w:val="22"/>
    </w:rPr>
  </w:style>
  <w:style w:type="paragraph" w:styleId="Heading5">
    <w:name w:val="heading 5"/>
    <w:basedOn w:val="Normal"/>
    <w:next w:val="Normal"/>
    <w:link w:val="berschrift5Zchn"/>
    <w:uiPriority w:val="9"/>
    <w:unhideWhenUsed/>
    <w:qFormat/>
    <w:pPr>
      <w:keepNext w:val="true"/>
      <w:keepLines/>
      <w:spacing w:before="80" w:after="40"/>
      <w:outlineLvl w:val="4"/>
    </w:pPr>
    <w:rPr>
      <w:rFonts w:ascii="Arial" w:hAnsi="Arial" w:eastAsia="Arial" w:cs="Arial"/>
      <w:color w:themeColor="accent1" w:themeShade="bf" w:val="2E74B5"/>
    </w:rPr>
  </w:style>
  <w:style w:type="paragraph" w:styleId="Heading6">
    <w:name w:val="heading 6"/>
    <w:basedOn w:val="Normal"/>
    <w:next w:val="Normal"/>
    <w:link w:val="berschrift6Zchn"/>
    <w:uiPriority w:val="9"/>
    <w:unhideWhenUsed/>
    <w:qFormat/>
    <w:pPr>
      <w:keepNext w:val="true"/>
      <w:keepLines/>
      <w:spacing w:before="40" w:after="0"/>
      <w:outlineLvl w:val="5"/>
    </w:pPr>
    <w:rPr>
      <w:rFonts w:ascii="Arial" w:hAnsi="Arial" w:eastAsia="Arial" w:cs="Arial"/>
      <w:i/>
      <w:iCs/>
      <w:color w:themeColor="text1" w:themeTint="a6" w:val="595959"/>
    </w:rPr>
  </w:style>
  <w:style w:type="paragraph" w:styleId="Heading7">
    <w:name w:val="heading 7"/>
    <w:basedOn w:val="Normal"/>
    <w:next w:val="Normal"/>
    <w:link w:val="berschrift7Zchn"/>
    <w:uiPriority w:val="9"/>
    <w:unhideWhenUsed/>
    <w:qFormat/>
    <w:pPr>
      <w:keepNext w:val="true"/>
      <w:keepLines/>
      <w:spacing w:before="40" w:after="0"/>
      <w:outlineLvl w:val="6"/>
    </w:pPr>
    <w:rPr>
      <w:rFonts w:ascii="Arial" w:hAnsi="Arial" w:eastAsia="Arial" w:cs="Arial"/>
      <w:color w:themeColor="text1" w:themeTint="a6" w:val="595959"/>
    </w:rPr>
  </w:style>
  <w:style w:type="paragraph" w:styleId="Heading8">
    <w:name w:val="heading 8"/>
    <w:basedOn w:val="Normal"/>
    <w:next w:val="Normal"/>
    <w:link w:val="berschrift8Zchn"/>
    <w:uiPriority w:val="9"/>
    <w:unhideWhenUsed/>
    <w:qFormat/>
    <w:pPr>
      <w:keepNext w:val="true"/>
      <w:keepLines/>
      <w:outlineLvl w:val="7"/>
    </w:pPr>
    <w:rPr>
      <w:rFonts w:ascii="Arial" w:hAnsi="Arial" w:eastAsia="Arial" w:cs="Arial"/>
      <w:i/>
      <w:iCs/>
      <w:color w:themeColor="text1" w:themeTint="d8" w:val="272727"/>
    </w:rPr>
  </w:style>
  <w:style w:type="paragraph" w:styleId="Heading9">
    <w:name w:val="heading 9"/>
    <w:basedOn w:val="Normal"/>
    <w:next w:val="Normal"/>
    <w:link w:val="berschrift9Zchn"/>
    <w:uiPriority w:val="9"/>
    <w:unhideWhenUsed/>
    <w:qFormat/>
    <w:pPr>
      <w:keepNext w:val="true"/>
      <w:keepLines/>
      <w:outlineLvl w:val="8"/>
    </w:pPr>
    <w:rPr>
      <w:rFonts w:ascii="Arial" w:hAnsi="Arial" w:eastAsia="Arial" w:cs="Arial"/>
      <w:i/>
      <w:iCs/>
      <w:color w:themeColor="text1" w:themeTint="d8" w:val="272727"/>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uiPriority w:val="9"/>
    <w:rPr>
      <w:rFonts w:ascii="Arial" w:hAnsi="Arial" w:eastAsia="Arial" w:cs="Arial"/>
      <w:color w:themeColor="accent1" w:themeShade="bf" w:val="2E74B5"/>
      <w:sz w:val="40"/>
      <w:szCs w:val="40"/>
    </w:rPr>
  </w:style>
  <w:style w:type="character" w:styleId="Heading2Char" w:customStyle="1">
    <w:name w:val="Heading 2 Char"/>
    <w:basedOn w:val="DefaultParagraphFont"/>
    <w:uiPriority w:val="9"/>
    <w:rPr>
      <w:rFonts w:ascii="Arial" w:hAnsi="Arial" w:eastAsia="Arial" w:cs="Arial"/>
      <w:color w:themeColor="accent1" w:themeShade="bf" w:val="2E74B5"/>
      <w:sz w:val="32"/>
      <w:szCs w:val="32"/>
    </w:rPr>
  </w:style>
  <w:style w:type="character" w:styleId="Heading3Char" w:customStyle="1">
    <w:name w:val="Heading 3 Char"/>
    <w:basedOn w:val="DefaultParagraphFont"/>
    <w:uiPriority w:val="9"/>
    <w:rPr>
      <w:rFonts w:ascii="Arial" w:hAnsi="Arial" w:eastAsia="Arial" w:cs="Arial"/>
      <w:color w:themeColor="accent1" w:themeShade="bf" w:val="2E74B5"/>
      <w:sz w:val="28"/>
      <w:szCs w:val="28"/>
    </w:rPr>
  </w:style>
  <w:style w:type="character" w:styleId="Heading4Char" w:customStyle="1">
    <w:name w:val="Heading 4 Char"/>
    <w:basedOn w:val="DefaultParagraphFont"/>
    <w:uiPriority w:val="9"/>
    <w:rPr>
      <w:rFonts w:ascii="Arial" w:hAnsi="Arial" w:eastAsia="Arial" w:cs="Arial"/>
      <w:i/>
      <w:iCs/>
      <w:color w:themeColor="accent1" w:themeShade="bf" w:val="2E74B5"/>
    </w:rPr>
  </w:style>
  <w:style w:type="character" w:styleId="Heading5Char" w:customStyle="1">
    <w:name w:val="Heading 5 Char"/>
    <w:basedOn w:val="DefaultParagraphFont"/>
    <w:uiPriority w:val="9"/>
    <w:rPr>
      <w:rFonts w:ascii="Arial" w:hAnsi="Arial" w:eastAsia="Arial" w:cs="Arial"/>
      <w:color w:themeColor="accent1" w:themeShade="bf" w:val="2E74B5"/>
    </w:rPr>
  </w:style>
  <w:style w:type="character" w:styleId="Heading6Char" w:customStyle="1">
    <w:name w:val="Heading 6 Char"/>
    <w:basedOn w:val="DefaultParagraphFont"/>
    <w:uiPriority w:val="9"/>
    <w:rPr>
      <w:rFonts w:ascii="Arial" w:hAnsi="Arial" w:eastAsia="Arial" w:cs="Arial"/>
      <w:i/>
      <w:iCs/>
      <w:color w:themeColor="text1" w:themeTint="a6" w:val="595959"/>
    </w:rPr>
  </w:style>
  <w:style w:type="character" w:styleId="Heading7Char" w:customStyle="1">
    <w:name w:val="Heading 7 Char"/>
    <w:basedOn w:val="DefaultParagraphFont"/>
    <w:uiPriority w:val="9"/>
    <w:rPr>
      <w:rFonts w:ascii="Arial" w:hAnsi="Arial" w:eastAsia="Arial" w:cs="Arial"/>
      <w:color w:themeColor="text1" w:themeTint="a6" w:val="595959"/>
    </w:rPr>
  </w:style>
  <w:style w:type="character" w:styleId="Heading8Char" w:customStyle="1">
    <w:name w:val="Heading 8 Char"/>
    <w:basedOn w:val="DefaultParagraphFont"/>
    <w:uiPriority w:val="9"/>
    <w:rPr>
      <w:rFonts w:ascii="Arial" w:hAnsi="Arial" w:eastAsia="Arial" w:cs="Arial"/>
      <w:i/>
      <w:iCs/>
      <w:color w:themeColor="text1" w:themeTint="d8" w:val="272727"/>
    </w:rPr>
  </w:style>
  <w:style w:type="character" w:styleId="Heading9Char" w:customStyle="1">
    <w:name w:val="Heading 9 Char"/>
    <w:basedOn w:val="DefaultParagraphFont"/>
    <w:uiPriority w:val="9"/>
    <w:rPr>
      <w:rFonts w:ascii="Arial" w:hAnsi="Arial" w:eastAsia="Arial" w:cs="Arial"/>
      <w:i/>
      <w:iCs/>
      <w:color w:themeColor="text1" w:themeTint="d8" w:val="272727"/>
    </w:rPr>
  </w:style>
  <w:style w:type="character" w:styleId="TitleChar" w:customStyle="1">
    <w:name w:val="Title Char"/>
    <w:basedOn w:val="DefaultParagraphFont"/>
    <w:uiPriority w:val="10"/>
    <w:rPr>
      <w:rFonts w:ascii="Arial" w:hAnsi="Arial" w:eastAsia="Arial" w:cs="Arial"/>
      <w:spacing w:val="-10"/>
      <w:sz w:val="56"/>
      <w:szCs w:val="56"/>
    </w:rPr>
  </w:style>
  <w:style w:type="character" w:styleId="SubtitleChar" w:customStyle="1">
    <w:name w:val="Subtitle Char"/>
    <w:basedOn w:val="DefaultParagraphFont"/>
    <w:uiPriority w:val="11"/>
    <w:rPr>
      <w:color w:themeColor="text1" w:themeTint="a6" w:val="595959"/>
      <w:spacing w:val="15"/>
      <w:sz w:val="28"/>
      <w:szCs w:val="28"/>
    </w:rPr>
  </w:style>
  <w:style w:type="character" w:styleId="QuoteChar" w:customStyle="1">
    <w:name w:val="Quote Char"/>
    <w:basedOn w:val="DefaultParagraphFont"/>
    <w:uiPriority w:val="29"/>
    <w:rPr>
      <w:i/>
      <w:iCs/>
      <w:color w:themeColor="text1" w:themeTint="bf" w:val="404040"/>
    </w:rPr>
  </w:style>
  <w:style w:type="character" w:styleId="IntenseQuoteChar" w:customStyle="1">
    <w:name w:val="Intense Quote Char"/>
    <w:basedOn w:val="DefaultParagraphFont"/>
    <w:uiPriority w:val="30"/>
    <w:rPr>
      <w:i/>
      <w:iCs/>
      <w:color w:themeColor="accent1" w:themeShade="bf" w:val="2E74B5"/>
    </w:rPr>
  </w:style>
  <w:style w:type="character" w:styleId="HeaderChar" w:customStyle="1">
    <w:name w:val="Header Char"/>
    <w:basedOn w:val="DefaultParagraphFont"/>
    <w:uiPriority w:val="99"/>
    <w:rPr/>
  </w:style>
  <w:style w:type="character" w:styleId="FooterChar" w:customStyle="1">
    <w:name w:val="Footer Char"/>
    <w:basedOn w:val="DefaultParagraphFont"/>
    <w:uiPriority w:val="99"/>
    <w:rPr/>
  </w:style>
  <w:style w:type="character" w:styleId="FootnoteTextChar" w:customStyle="1">
    <w:name w:val="Footnote Text Char"/>
    <w:basedOn w:val="DefaultParagraphFont"/>
    <w:uiPriority w:val="99"/>
    <w:semiHidden/>
    <w:rPr>
      <w:sz w:val="20"/>
      <w:szCs w:val="20"/>
    </w:rPr>
  </w:style>
  <w:style w:type="character" w:styleId="EndnoteTextChar" w:customStyle="1">
    <w:name w:val="Endnote Text Char"/>
    <w:basedOn w:val="DefaultParagraphFont"/>
    <w:uiPriority w:val="99"/>
    <w:semiHidden/>
    <w:rPr>
      <w:sz w:val="20"/>
      <w:szCs w:val="20"/>
    </w:rPr>
  </w:style>
  <w:style w:type="character" w:styleId="berschrift1Zchn" w:customStyle="1">
    <w:name w:val="Überschrift 1 Zchn"/>
    <w:basedOn w:val="DefaultParagraphFont"/>
    <w:uiPriority w:val="9"/>
    <w:rPr>
      <w:rFonts w:ascii="Arial" w:hAnsi="Arial" w:eastAsia="Arial" w:cs="Arial"/>
      <w:color w:themeColor="accent1" w:themeShade="bf" w:val="2E74B5"/>
      <w:sz w:val="40"/>
      <w:szCs w:val="40"/>
    </w:rPr>
  </w:style>
  <w:style w:type="character" w:styleId="berschrift2Zchn" w:customStyle="1">
    <w:name w:val="Überschrift 2 Zchn"/>
    <w:basedOn w:val="DefaultParagraphFont"/>
    <w:uiPriority w:val="9"/>
    <w:rPr>
      <w:rFonts w:ascii="Arial" w:hAnsi="Arial" w:eastAsia="Arial" w:cs="Arial"/>
      <w:color w:themeColor="accent1" w:themeShade="bf" w:val="2E74B5"/>
      <w:sz w:val="32"/>
      <w:szCs w:val="32"/>
    </w:rPr>
  </w:style>
  <w:style w:type="character" w:styleId="berschrift3Zchn" w:customStyle="1">
    <w:name w:val="Überschrift 3 Zchn"/>
    <w:basedOn w:val="DefaultParagraphFont"/>
    <w:uiPriority w:val="9"/>
    <w:rPr>
      <w:rFonts w:ascii="Arial" w:hAnsi="Arial" w:eastAsia="Arial" w:cs="Arial"/>
      <w:color w:themeColor="accent1" w:themeShade="bf" w:val="2E74B5"/>
      <w:sz w:val="28"/>
      <w:szCs w:val="28"/>
    </w:rPr>
  </w:style>
  <w:style w:type="character" w:styleId="berschrift4Zchn" w:customStyle="1">
    <w:name w:val="Überschrift 4 Zchn"/>
    <w:basedOn w:val="DefaultParagraphFont"/>
    <w:uiPriority w:val="9"/>
    <w:rPr>
      <w:rFonts w:ascii="Arial" w:hAnsi="Arial" w:eastAsia="Arial" w:cs="Arial"/>
      <w:i/>
      <w:iCs/>
      <w:sz w:val="22"/>
      <w:szCs w:val="22"/>
    </w:rPr>
  </w:style>
  <w:style w:type="character" w:styleId="berschrift5Zchn" w:customStyle="1">
    <w:name w:val="Überschrift 5 Zchn"/>
    <w:basedOn w:val="DefaultParagraphFont"/>
    <w:uiPriority w:val="9"/>
    <w:rPr>
      <w:rFonts w:ascii="Arial" w:hAnsi="Arial" w:eastAsia="Arial" w:cs="Arial"/>
      <w:color w:themeColor="accent1" w:themeShade="bf" w:val="2E74B5"/>
    </w:rPr>
  </w:style>
  <w:style w:type="character" w:styleId="berschrift6Zchn" w:customStyle="1">
    <w:name w:val="Überschrift 6 Zchn"/>
    <w:basedOn w:val="DefaultParagraphFont"/>
    <w:uiPriority w:val="9"/>
    <w:rPr>
      <w:rFonts w:ascii="Arial" w:hAnsi="Arial" w:eastAsia="Arial" w:cs="Arial"/>
      <w:i/>
      <w:iCs/>
      <w:color w:themeColor="text1" w:themeTint="a6" w:val="595959"/>
    </w:rPr>
  </w:style>
  <w:style w:type="character" w:styleId="berschrift7Zchn" w:customStyle="1">
    <w:name w:val="Überschrift 7 Zchn"/>
    <w:basedOn w:val="DefaultParagraphFont"/>
    <w:uiPriority w:val="9"/>
    <w:rPr>
      <w:rFonts w:ascii="Arial" w:hAnsi="Arial" w:eastAsia="Arial" w:cs="Arial"/>
      <w:color w:themeColor="text1" w:themeTint="a6" w:val="595959"/>
    </w:rPr>
  </w:style>
  <w:style w:type="character" w:styleId="berschrift8Zchn" w:customStyle="1">
    <w:name w:val="Überschrift 8 Zchn"/>
    <w:basedOn w:val="DefaultParagraphFont"/>
    <w:uiPriority w:val="9"/>
    <w:rPr>
      <w:rFonts w:ascii="Arial" w:hAnsi="Arial" w:eastAsia="Arial" w:cs="Arial"/>
      <w:i/>
      <w:iCs/>
      <w:color w:themeColor="text1" w:themeTint="d8" w:val="272727"/>
    </w:rPr>
  </w:style>
  <w:style w:type="character" w:styleId="berschrift9Zchn" w:customStyle="1">
    <w:name w:val="Überschrift 9 Zchn"/>
    <w:basedOn w:val="DefaultParagraphFont"/>
    <w:uiPriority w:val="9"/>
    <w:rPr>
      <w:rFonts w:ascii="Arial" w:hAnsi="Arial" w:eastAsia="Arial" w:cs="Arial"/>
      <w:i/>
      <w:iCs/>
      <w:color w:themeColor="text1" w:themeTint="d8" w:val="272727"/>
    </w:rPr>
  </w:style>
  <w:style w:type="character" w:styleId="TitelZchn" w:customStyle="1">
    <w:name w:val="Titel Zchn"/>
    <w:basedOn w:val="DefaultParagraphFont"/>
    <w:uiPriority w:val="10"/>
    <w:rPr>
      <w:rFonts w:ascii="Arial" w:hAnsi="Arial" w:eastAsia="Arial" w:cs="Arial"/>
      <w:spacing w:val="-10"/>
      <w:sz w:val="56"/>
      <w:szCs w:val="56"/>
    </w:rPr>
  </w:style>
  <w:style w:type="character" w:styleId="UntertitelZchn" w:customStyle="1">
    <w:name w:val="Untertitel Zchn"/>
    <w:basedOn w:val="DefaultParagraphFont"/>
    <w:uiPriority w:val="11"/>
    <w:rPr>
      <w:color w:themeColor="text1" w:themeTint="a6" w:val="595959"/>
      <w:spacing w:val="15"/>
      <w:sz w:val="28"/>
      <w:szCs w:val="28"/>
    </w:rPr>
  </w:style>
  <w:style w:type="character" w:styleId="ZitatZchn" w:customStyle="1">
    <w:name w:val="Zitat Zchn"/>
    <w:basedOn w:val="DefaultParagraphFont"/>
    <w:link w:val="Quote"/>
    <w:uiPriority w:val="29"/>
    <w:rPr>
      <w:i/>
      <w:iCs/>
      <w:color w:themeColor="text1" w:themeTint="bf" w:val="404040"/>
    </w:rPr>
  </w:style>
  <w:style w:type="character" w:styleId="IntenseEmphasis">
    <w:name w:val="Intense Emphasis"/>
    <w:basedOn w:val="DefaultParagraphFont"/>
    <w:uiPriority w:val="21"/>
    <w:qFormat/>
    <w:rPr>
      <w:i/>
      <w:iCs/>
      <w:color w:themeColor="accent1" w:themeShade="bf" w:val="2E74B5"/>
    </w:rPr>
  </w:style>
  <w:style w:type="character" w:styleId="IntensivesZitatZchn" w:customStyle="1">
    <w:name w:val="Intensives Zitat Zchn"/>
    <w:basedOn w:val="DefaultParagraphFont"/>
    <w:link w:val="IntenseQuote"/>
    <w:uiPriority w:val="30"/>
    <w:rPr>
      <w:i/>
      <w:iCs/>
      <w:color w:themeColor="accent1" w:themeShade="bf" w:val="2E74B5"/>
    </w:rPr>
  </w:style>
  <w:style w:type="character" w:styleId="IntenseReference">
    <w:name w:val="Intense Reference"/>
    <w:basedOn w:val="DefaultParagraphFont"/>
    <w:uiPriority w:val="32"/>
    <w:qFormat/>
    <w:rPr>
      <w:b/>
      <w:bCs/>
      <w:smallCaps/>
      <w:color w:themeColor="accent1" w:themeShade="bf" w:val="2E74B5"/>
      <w:spacing w:val="5"/>
    </w:rPr>
  </w:style>
  <w:style w:type="character" w:styleId="SubtleEmphasis">
    <w:name w:val="Subtle Emphasis"/>
    <w:basedOn w:val="DefaultParagraphFont"/>
    <w:uiPriority w:val="19"/>
    <w:qFormat/>
    <w:rPr>
      <w:i/>
      <w:iCs/>
      <w:color w:themeColor="text1" w:themeTint="bf" w:val="404040"/>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themeColor="text1" w:themeTint="a5" w:val="5A5A5A"/>
    </w:rPr>
  </w:style>
  <w:style w:type="character" w:styleId="BookTitle">
    <w:name w:val="Book Title"/>
    <w:basedOn w:val="DefaultParagraphFont"/>
    <w:uiPriority w:val="33"/>
    <w:qFormat/>
    <w:rPr>
      <w:b/>
      <w:bCs/>
      <w:i/>
      <w:iCs/>
      <w:spacing w:val="5"/>
    </w:rPr>
  </w:style>
  <w:style w:type="character" w:styleId="KopfzeileZchn" w:customStyle="1">
    <w:name w:val="Kopfzeile Zchn"/>
    <w:basedOn w:val="DefaultParagraphFont"/>
    <w:uiPriority w:val="99"/>
    <w:rPr/>
  </w:style>
  <w:style w:type="character" w:styleId="FuzeileZchn" w:customStyle="1">
    <w:name w:val="Fußzeile Zchn"/>
    <w:basedOn w:val="DefaultParagraphFont"/>
    <w:uiPriority w:val="99"/>
    <w:rPr/>
  </w:style>
  <w:style w:type="character" w:styleId="FunotentextZchn" w:customStyle="1">
    <w:name w:val="Fußnotentext Zchn"/>
    <w:basedOn w:val="DefaultParagraphFont"/>
    <w:uiPriority w:val="99"/>
    <w:semiHidden/>
    <w:rPr>
      <w:sz w:val="20"/>
      <w:szCs w:val="20"/>
    </w:rPr>
  </w:style>
  <w:style w:type="character" w:styleId="Funotenzeichen">
    <w:name w:val="Fußnotenzeichen"/>
    <w:basedOn w:val="DefaultParagraphFont"/>
    <w:uiPriority w:val="99"/>
    <w:semiHidden/>
    <w:unhideWhenUsed/>
    <w:rPr>
      <w:vertAlign w:val="superscript"/>
    </w:rPr>
  </w:style>
  <w:style w:type="character" w:styleId="FootnoteReference">
    <w:name w:val="footnote reference"/>
    <w:rPr>
      <w:vertAlign w:val="superscript"/>
    </w:rPr>
  </w:style>
  <w:style w:type="character" w:styleId="EndnotentextZchn" w:customStyle="1">
    <w:name w:val="Endnotentext Zchn"/>
    <w:basedOn w:val="DefaultParagraphFont"/>
    <w:link w:val="EndnoteText"/>
    <w:uiPriority w:val="99"/>
    <w:semiHidden/>
    <w:rPr>
      <w:sz w:val="20"/>
      <w:szCs w:val="20"/>
    </w:rPr>
  </w:style>
  <w:style w:type="character" w:styleId="Endnotenzeichen">
    <w:name w:val="Endnotenzeichen"/>
    <w:basedOn w:val="DefaultParagraphFont"/>
    <w:uiPriority w:val="99"/>
    <w:semiHidden/>
    <w:unhideWhenUsed/>
    <w:rPr>
      <w:vertAlign w:val="superscript"/>
    </w:rPr>
  </w:style>
  <w:style w:type="character" w:styleId="EndnoteReference">
    <w:name w:val="endnote reference"/>
    <w:rPr>
      <w:vertAlign w:val="superscript"/>
    </w:rPr>
  </w:style>
  <w:style w:type="character" w:styleId="PlaceholderText">
    <w:name w:val="Placeholder Text"/>
    <w:basedOn w:val="DefaultParagraphFont"/>
    <w:uiPriority w:val="99"/>
    <w:semiHidden/>
    <w:rPr>
      <w:color w:val="666666"/>
    </w:rPr>
  </w:style>
  <w:style w:type="character" w:styleId="PageNumber">
    <w:name w:val="page number"/>
    <w:basedOn w:val="DefaultParagraphFont"/>
    <w:rPr/>
  </w:style>
  <w:style w:type="character" w:styleId="SprechblasentextZchn" w:customStyle="1">
    <w:name w:val="Sprechblasentext Zchn"/>
    <w:link w:val="BalloonText"/>
    <w:rPr>
      <w:rFonts w:ascii="Tahoma" w:hAnsi="Tahoma" w:cs="Tahoma"/>
      <w:sz w:val="16"/>
      <w:szCs w:val="16"/>
    </w:rPr>
  </w:style>
  <w:style w:type="character" w:styleId="CommentReference">
    <w:name w:val="annotation reference"/>
    <w:uiPriority w:val="99"/>
    <w:rPr>
      <w:sz w:val="16"/>
      <w:szCs w:val="16"/>
    </w:rPr>
  </w:style>
  <w:style w:type="character" w:styleId="KommentartextZchn" w:customStyle="1">
    <w:name w:val="Kommentartext Zchn"/>
    <w:rPr>
      <w:rFonts w:ascii="CG Times" w:hAnsi="CG Times"/>
    </w:rPr>
  </w:style>
  <w:style w:type="character" w:styleId="KommentarthemaZchn" w:customStyle="1">
    <w:name w:val="Kommentarthema Zchn"/>
    <w:link w:val="annotationsubject"/>
    <w:rPr>
      <w:rFonts w:ascii="CG Times" w:hAnsi="CG Times"/>
      <w:b/>
      <w:bCs/>
    </w:rPr>
  </w:style>
  <w:style w:type="character" w:styleId="Hyperlink">
    <w:name w:val="Hyperlink"/>
    <w:rPr>
      <w:color w:val="0000FF"/>
      <w:u w:val="single"/>
    </w:rPr>
  </w:style>
  <w:style w:type="character" w:styleId="NurTextZchn" w:customStyle="1">
    <w:name w:val="Nur Text Zchn"/>
    <w:link w:val="PlainText"/>
    <w:uiPriority w:val="99"/>
    <w:rPr>
      <w:rFonts w:ascii="Consolas" w:hAnsi="Consolas" w:eastAsia="Calibri" w:cs="Times New Roman"/>
      <w:sz w:val="21"/>
      <w:szCs w:val="21"/>
      <w:lang w:eastAsia="en-US"/>
    </w:rPr>
  </w:style>
  <w:style w:type="character" w:styleId="Textkrper2Zchn" w:customStyle="1">
    <w:name w:val="Textkörper 2 Zchn"/>
    <w:link w:val="BodyText2"/>
    <w:rPr>
      <w:rFonts w:ascii="CG Times" w:hAnsi="CG Times"/>
      <w:lang w:val="de-DE" w:eastAsia="de-DE" w:bidi="ar-SA"/>
    </w:rPr>
  </w:style>
  <w:style w:type="character" w:styleId="BesuchterHyperlink" w:customStyle="1">
    <w:name w:val="BesuchterHyperlink"/>
    <w:rPr>
      <w:color w:val="800080"/>
      <w:u w:val="single"/>
    </w:rPr>
  </w:style>
  <w:style w:type="character" w:styleId="FollowedHyperlink">
    <w:name w:val="FollowedHyperlink"/>
    <w:basedOn w:val="DefaultParagraphFont"/>
    <w:rPr>
      <w:color w:themeColor="followedHyperlink" w:val="954F72"/>
      <w:u w:val="single"/>
    </w:rPr>
  </w:style>
  <w:style w:type="character" w:styleId="UnresolvedMention">
    <w:name w:val="Unresolved Mention"/>
    <w:basedOn w:val="DefaultParagraphFont"/>
    <w:uiPriority w:val="99"/>
    <w:semiHidden/>
    <w:unhideWhenUsed/>
    <w:rPr>
      <w:color w:val="605E5C"/>
      <w:shd w:fill="E1DFDD" w:val="clear"/>
    </w:rPr>
  </w:style>
  <w:style w:type="character" w:styleId="Strong">
    <w:name w:val="Strong"/>
    <w:basedOn w:val="DefaultParagraphFont"/>
    <w:uiPriority w:val="22"/>
    <w:qFormat/>
    <w:rPr>
      <w:b/>
      <w:bCs/>
    </w:rPr>
  </w:style>
  <w:style w:type="character" w:styleId="ng-binding" w:customStyle="1">
    <w:name w:val="ng-binding"/>
    <w:basedOn w:val="DefaultParagraphFont"/>
    <w:rPr/>
  </w:style>
  <w:style w:type="paragraph" w:styleId="berschrift">
    <w:name w:val="Überschrift"/>
    <w:basedOn w:val="Normal"/>
    <w:next w:val="BodyText"/>
    <w:pPr>
      <w:keepNext w:val="true"/>
      <w:spacing w:before="240" w:after="120"/>
    </w:pPr>
    <w:rPr>
      <w:rFonts w:ascii="Liberation Sans" w:hAnsi="Liberation Sans" w:eastAsia="Microsoft YaHei" w:cs="Arial"/>
      <w:sz w:val="28"/>
      <w:szCs w:val="28"/>
    </w:rPr>
  </w:style>
  <w:style w:type="paragraph" w:styleId="BodyText">
    <w:name w:val="Body Text"/>
    <w:basedOn w:val="Normal"/>
    <w:pPr>
      <w:widowControl w:val="false"/>
    </w:pPr>
    <w:rPr>
      <w:rFonts w:ascii="Courier" w:hAnsi="Courier"/>
      <w:sz w:val="24"/>
    </w:rPr>
  </w:style>
  <w:style w:type="paragraph" w:styleId="List">
    <w:name w:val="List"/>
    <w:basedOn w:val="BodyText"/>
    <w:pPr/>
    <w:rPr>
      <w:rFonts w:cs="Arial"/>
    </w:rPr>
  </w:style>
  <w:style w:type="paragraph" w:styleId="Caption">
    <w:name w:val="caption"/>
    <w:basedOn w:val="Normal"/>
    <w:next w:val="Normal"/>
    <w:unhideWhenUsed/>
    <w:qFormat/>
    <w:pPr>
      <w:spacing w:before="0" w:after="200"/>
    </w:pPr>
    <w:rPr>
      <w:i/>
      <w:iCs/>
      <w:color w:themeColor="text2" w:val="44546A"/>
      <w:sz w:val="18"/>
      <w:szCs w:val="18"/>
    </w:rPr>
  </w:style>
  <w:style w:type="paragraph" w:styleId="Verzeichnis">
    <w:name w:val="Verzeichnis"/>
    <w:basedOn w:val="Normal"/>
    <w:pPr>
      <w:suppressLineNumbers/>
    </w:pPr>
    <w:rPr>
      <w:rFonts w:cs="Arial"/>
    </w:rPr>
  </w:style>
  <w:style w:type="paragraph" w:styleId="Title">
    <w:name w:val="Title"/>
    <w:basedOn w:val="Normal"/>
    <w:next w:val="Normal"/>
    <w:link w:val="TitelZchn"/>
    <w:uiPriority w:val="10"/>
    <w:qFormat/>
    <w:pPr>
      <w:spacing w:before="0" w:after="80"/>
      <w:contextualSpacing/>
    </w:pPr>
    <w:rPr>
      <w:rFonts w:ascii="Arial" w:hAnsi="Arial" w:eastAsia="Arial" w:cs="Arial"/>
      <w:spacing w:val="-10"/>
      <w:sz w:val="56"/>
      <w:szCs w:val="56"/>
    </w:rPr>
  </w:style>
  <w:style w:type="paragraph" w:styleId="Subtitle">
    <w:name w:val="Subtitle"/>
    <w:basedOn w:val="Normal"/>
    <w:next w:val="Normal"/>
    <w:link w:val="UntertitelZchn"/>
    <w:uiPriority w:val="11"/>
    <w:qFormat/>
    <w:pPr/>
    <w:rPr>
      <w:color w:themeColor="text1" w:themeTint="a6" w:val="595959"/>
      <w:spacing w:val="15"/>
      <w:sz w:val="28"/>
      <w:szCs w:val="28"/>
    </w:rPr>
  </w:style>
  <w:style w:type="paragraph" w:styleId="Quote">
    <w:name w:val="Quote"/>
    <w:basedOn w:val="Normal"/>
    <w:next w:val="Normal"/>
    <w:link w:val="ZitatZchn"/>
    <w:uiPriority w:val="29"/>
    <w:qFormat/>
    <w:pPr>
      <w:spacing w:before="160" w:after="0"/>
      <w:jc w:val="center"/>
    </w:pPr>
    <w:rPr>
      <w:i/>
      <w:iCs/>
      <w:color w:themeColor="text1" w:themeTint="bf" w:val="404040"/>
    </w:rPr>
  </w:style>
  <w:style w:type="paragraph" w:styleId="IntenseQuote">
    <w:name w:val="Intense Quote"/>
    <w:basedOn w:val="Normal"/>
    <w:next w:val="Normal"/>
    <w:link w:val="IntensivesZitatZchn"/>
    <w:uiPriority w:val="30"/>
    <w:qFormat/>
    <w:pPr>
      <w:pBdr>
        <w:top w:val="single" w:sz="4" w:space="10" w:color="2E74B5" w:themeColor="accent1" w:themeShade="bf"/>
        <w:bottom w:val="single" w:sz="4" w:space="10" w:color="2E74B5" w:themeColor="accent1" w:themeShade="bf"/>
      </w:pBdr>
      <w:spacing w:before="360" w:after="360"/>
      <w:ind w:start="864" w:end="864"/>
      <w:jc w:val="center"/>
    </w:pPr>
    <w:rPr>
      <w:i/>
      <w:iCs/>
      <w:color w:themeColor="accent1" w:themeShade="bf" w:val="2E74B5"/>
    </w:rPr>
  </w:style>
  <w:style w:type="paragraph" w:styleId="NoSpacing">
    <w:name w:val="No Spacing"/>
    <w:basedOn w:val="Normal"/>
    <w:uiPriority w:val="1"/>
    <w:qFormat/>
    <w:pPr/>
    <w:rPr/>
  </w:style>
  <w:style w:type="paragraph" w:styleId="FootnoteText">
    <w:name w:val="footnote text"/>
    <w:basedOn w:val="Normal"/>
    <w:link w:val="FunotentextZchn"/>
    <w:uiPriority w:val="99"/>
    <w:semiHidden/>
    <w:unhideWhenUsed/>
    <w:pPr/>
    <w:rPr/>
  </w:style>
  <w:style w:type="paragraph" w:styleId="EndnoteText">
    <w:name w:val="endnote text"/>
    <w:basedOn w:val="Normal"/>
    <w:link w:val="EndnotentextZchn"/>
    <w:uiPriority w:val="99"/>
    <w:semiHidden/>
    <w:unhideWhenUsed/>
    <w:pPr/>
    <w:rPr/>
  </w:style>
  <w:style w:type="paragraph" w:styleId="TOC1">
    <w:name w:val="toc 1"/>
    <w:basedOn w:val="Normal"/>
    <w:next w:val="Normal"/>
    <w:uiPriority w:val="39"/>
    <w:unhideWhenUsed/>
    <w:pPr>
      <w:spacing w:before="0" w:after="100"/>
    </w:pPr>
    <w:rPr/>
  </w:style>
  <w:style w:type="paragraph" w:styleId="TOC2">
    <w:name w:val="toc 2"/>
    <w:basedOn w:val="Normal"/>
    <w:next w:val="Normal"/>
    <w:uiPriority w:val="39"/>
    <w:unhideWhenUsed/>
    <w:pPr>
      <w:spacing w:before="0" w:after="100"/>
      <w:ind w:start="220"/>
    </w:pPr>
    <w:rPr/>
  </w:style>
  <w:style w:type="paragraph" w:styleId="TOC3">
    <w:name w:val="toc 3"/>
    <w:basedOn w:val="Normal"/>
    <w:next w:val="Normal"/>
    <w:uiPriority w:val="39"/>
    <w:unhideWhenUsed/>
    <w:pPr>
      <w:spacing w:before="0" w:after="100"/>
      <w:ind w:start="440"/>
    </w:pPr>
    <w:rPr/>
  </w:style>
  <w:style w:type="paragraph" w:styleId="TOC4">
    <w:name w:val="toc 4"/>
    <w:basedOn w:val="Normal"/>
    <w:next w:val="Normal"/>
    <w:uiPriority w:val="39"/>
    <w:unhideWhenUsed/>
    <w:pPr>
      <w:spacing w:before="0" w:after="100"/>
      <w:ind w:start="660"/>
    </w:pPr>
    <w:rPr/>
  </w:style>
  <w:style w:type="paragraph" w:styleId="TOC5">
    <w:name w:val="toc 5"/>
    <w:basedOn w:val="Normal"/>
    <w:next w:val="Normal"/>
    <w:uiPriority w:val="39"/>
    <w:unhideWhenUsed/>
    <w:pPr>
      <w:spacing w:before="0" w:after="100"/>
      <w:ind w:start="880"/>
    </w:pPr>
    <w:rPr/>
  </w:style>
  <w:style w:type="paragraph" w:styleId="TOC6">
    <w:name w:val="toc 6"/>
    <w:basedOn w:val="Normal"/>
    <w:next w:val="Normal"/>
    <w:uiPriority w:val="39"/>
    <w:unhideWhenUsed/>
    <w:pPr>
      <w:spacing w:before="0" w:after="100"/>
      <w:ind w:start="1100"/>
    </w:pPr>
    <w:rPr/>
  </w:style>
  <w:style w:type="paragraph" w:styleId="TOC8">
    <w:name w:val="toc 8"/>
    <w:basedOn w:val="Normal"/>
    <w:next w:val="Normal"/>
    <w:uiPriority w:val="39"/>
    <w:unhideWhenUsed/>
    <w:pPr>
      <w:spacing w:before="0" w:after="100"/>
      <w:ind w:start="1540"/>
    </w:pPr>
    <w:rPr/>
  </w:style>
  <w:style w:type="paragraph" w:styleId="TOC9">
    <w:name w:val="toc 9"/>
    <w:basedOn w:val="Normal"/>
    <w:next w:val="Normal"/>
    <w:uiPriority w:val="39"/>
    <w:unhideWhenUsed/>
    <w:pPr>
      <w:spacing w:before="0" w:after="100"/>
      <w:ind w:start="1760"/>
    </w:pPr>
    <w:rPr/>
  </w:style>
  <w:style w:type="paragraph" w:styleId="IndexHeading">
    <w:name w:val="index heading"/>
    <w:basedOn w:val="berschrift"/>
    <w:pPr/>
    <w:rPr/>
  </w:style>
  <w:style w:type="paragraph" w:styleId="TOCHeading">
    <w:name w:val="TOC Heading"/>
    <w:uiPriority w:val="39"/>
    <w:unhideWhenUsed/>
    <w:pPr>
      <w:widowControl/>
      <w:bidi w:val="0"/>
      <w:spacing w:before="0" w:after="0"/>
      <w:jc w:val="start"/>
    </w:pPr>
    <w:rPr>
      <w:rFonts w:ascii="Times New Roman" w:hAnsi="Times New Roman" w:eastAsia="Times New Roman" w:cs="Times New Roman"/>
      <w:color w:val="auto"/>
      <w:kern w:val="0"/>
      <w:sz w:val="20"/>
      <w:szCs w:val="20"/>
      <w:lang w:val="de-DE" w:eastAsia="de-DE" w:bidi="ar-SA"/>
    </w:rPr>
  </w:style>
  <w:style w:type="paragraph" w:styleId="Tabelleuser" w:customStyle="1">
    <w:name w:val="Tabelle (user)"/>
    <w:basedOn w:val="Normal"/>
    <w:next w:val="Normal"/>
    <w:pPr>
      <w:keepLines/>
      <w:pBdr>
        <w:top w:val="single" w:sz="6" w:space="2" w:color="000000"/>
        <w:left w:val="single" w:sz="6" w:space="2" w:color="000000"/>
        <w:bottom w:val="single" w:sz="6" w:space="2" w:color="000000"/>
        <w:right w:val="single" w:sz="6" w:space="2" w:color="000000"/>
      </w:pBdr>
      <w:spacing w:lineRule="atLeast" w:line="210" w:before="120" w:after="120"/>
      <w:jc w:val="both"/>
    </w:pPr>
    <w:rPr>
      <w:rFonts w:ascii="Arial" w:hAnsi="Arial"/>
      <w:bCs/>
      <w:iCs/>
      <w:color w:val="000000"/>
      <w:sz w:val="18"/>
      <w:szCs w:val="18"/>
    </w:rPr>
  </w:style>
  <w:style w:type="paragraph" w:styleId="Abbildunguser" w:customStyle="1">
    <w:name w:val="Abbildung (user)"/>
    <w:basedOn w:val="Normal"/>
    <w:next w:val="Normal"/>
    <w:qFormat/>
    <w:pPr>
      <w:keepLines/>
      <w:pBdr>
        <w:top w:val="single" w:sz="6" w:space="2" w:color="000000"/>
        <w:left w:val="single" w:sz="6" w:space="2" w:color="000000"/>
        <w:bottom w:val="single" w:sz="6" w:space="2" w:color="000000"/>
        <w:right w:val="single" w:sz="6" w:space="2" w:color="000000"/>
      </w:pBdr>
      <w:spacing w:lineRule="atLeast" w:line="210" w:before="120" w:after="120"/>
      <w:jc w:val="both"/>
    </w:pPr>
    <w:rPr>
      <w:rFonts w:ascii="Arial" w:hAnsi="Arial"/>
      <w:i/>
      <w:color w:val="000000"/>
    </w:rPr>
  </w:style>
  <w:style w:type="paragraph" w:styleId="LiKoerper" w:customStyle="1">
    <w:name w:val="Li_Koerper"/>
    <w:basedOn w:val="Normal"/>
    <w:pPr>
      <w:spacing w:lineRule="atLeast" w:line="240" w:before="0" w:after="120"/>
      <w:ind w:start="567"/>
      <w:jc w:val="both"/>
    </w:pPr>
    <w:rPr>
      <w:rFonts w:ascii="Arial" w:hAnsi="Arial"/>
      <w:color w:val="000000"/>
    </w:rPr>
  </w:style>
  <w:style w:type="paragraph" w:styleId="LiKopf" w:customStyle="1">
    <w:name w:val="Li_Kopf"/>
    <w:pPr>
      <w:keepNext w:val="true"/>
      <w:keepLines/>
      <w:widowControl/>
      <w:bidi w:val="0"/>
      <w:spacing w:before="0" w:after="0"/>
      <w:ind w:hanging="567" w:start="567"/>
      <w:jc w:val="both"/>
    </w:pPr>
    <w:rPr>
      <w:rFonts w:ascii="Arial" w:hAnsi="Arial" w:eastAsia="Times New Roman" w:cs="Times New Roman"/>
      <w:b/>
      <w:color w:val="auto"/>
      <w:kern w:val="0"/>
      <w:sz w:val="20"/>
      <w:szCs w:val="20"/>
      <w:lang w:val="de-DE" w:eastAsia="de-DE" w:bidi="ar-SA"/>
    </w:rPr>
  </w:style>
  <w:style w:type="paragraph" w:styleId="Kopf-Fuzeile">
    <w:name w:val="Kopf-/Fußzeile"/>
    <w:basedOn w:val="Normal"/>
    <w:pPr/>
    <w:rPr/>
  </w:style>
  <w:style w:type="paragraph" w:styleId="Header">
    <w:name w:val="header"/>
    <w:basedOn w:val="Normal"/>
    <w:link w:val="KopfzeileZchn"/>
    <w:pPr>
      <w:tabs>
        <w:tab w:val="clear" w:pos="720"/>
        <w:tab w:val="center" w:pos="4819" w:leader="none"/>
        <w:tab w:val="right" w:pos="9071" w:leader="none"/>
      </w:tabs>
    </w:pPr>
    <w:rPr>
      <w:rFonts w:ascii="CG Times (W1)" w:hAnsi="CG Times (W1)"/>
    </w:rPr>
  </w:style>
  <w:style w:type="paragraph" w:styleId="Textkrper21" w:customStyle="1">
    <w:name w:val="Textkörper 21"/>
    <w:basedOn w:val="Normal"/>
    <w:pPr>
      <w:widowControl w:val="false"/>
      <w:ind w:hanging="2977" w:start="2977"/>
    </w:pPr>
    <w:rPr>
      <w:rFonts w:ascii="Arial" w:hAnsi="Arial"/>
    </w:rPr>
  </w:style>
  <w:style w:type="paragraph" w:styleId="Footer">
    <w:name w:val="footer"/>
    <w:basedOn w:val="Normal"/>
    <w:link w:val="FuzeileZchn"/>
    <w:pPr>
      <w:tabs>
        <w:tab w:val="clear" w:pos="720"/>
        <w:tab w:val="center" w:pos="4536" w:leader="none"/>
        <w:tab w:val="right" w:pos="9072" w:leader="none"/>
      </w:tabs>
    </w:pPr>
    <w:rPr/>
  </w:style>
  <w:style w:type="paragraph" w:styleId="BodyText2">
    <w:name w:val="Body Text 2"/>
    <w:basedOn w:val="Normal"/>
    <w:link w:val="Textkrper2Zchn"/>
    <w:pPr>
      <w:spacing w:lineRule="auto" w:line="480" w:before="0" w:after="120"/>
    </w:pPr>
    <w:rPr/>
  </w:style>
  <w:style w:type="paragraph" w:styleId="BodyText3">
    <w:name w:val="Body Text 3"/>
    <w:basedOn w:val="Normal"/>
    <w:pPr>
      <w:spacing w:before="0" w:after="120"/>
    </w:pPr>
    <w:rPr>
      <w:sz w:val="16"/>
      <w:szCs w:val="16"/>
    </w:rPr>
  </w:style>
  <w:style w:type="paragraph" w:styleId="Tabellenberschrift" w:customStyle="1">
    <w:name w:val="Tabellen Überschrift"/>
    <w:basedOn w:val="Normal"/>
    <w:pPr>
      <w:widowControl w:val="false"/>
    </w:pPr>
    <w:rPr>
      <w:rFonts w:ascii="Arial" w:hAnsi="Arial" w:cs="Arial"/>
      <w:b/>
      <w:bCs/>
      <w:sz w:val="18"/>
      <w:szCs w:val="18"/>
    </w:rPr>
  </w:style>
  <w:style w:type="paragraph" w:styleId="BalloonText">
    <w:name w:val="Balloon Text"/>
    <w:basedOn w:val="Normal"/>
    <w:link w:val="SprechblasentextZchn"/>
    <w:pPr/>
    <w:rPr>
      <w:rFonts w:ascii="Tahoma" w:hAnsi="Tahoma" w:cs="Tahoma"/>
      <w:sz w:val="16"/>
      <w:szCs w:val="16"/>
    </w:rPr>
  </w:style>
  <w:style w:type="paragraph" w:styleId="CommentText">
    <w:name w:val="annotation text"/>
    <w:basedOn w:val="Normal"/>
    <w:link w:val="KommentartextZchn"/>
    <w:pPr/>
    <w:rPr/>
  </w:style>
  <w:style w:type="paragraph" w:styleId="annotationsubject">
    <w:name w:val="annotation subject"/>
    <w:basedOn w:val="CommentText"/>
    <w:next w:val="CommentText"/>
    <w:link w:val="KommentarthemaZchn"/>
    <w:pPr/>
    <w:rPr>
      <w:b/>
      <w:bCs/>
    </w:rPr>
  </w:style>
  <w:style w:type="paragraph" w:styleId="PlainText">
    <w:name w:val="Plain Text"/>
    <w:basedOn w:val="Normal"/>
    <w:link w:val="NurTextZchn"/>
    <w:uiPriority w:val="99"/>
    <w:unhideWhenUsed/>
    <w:pPr/>
    <w:rPr>
      <w:rFonts w:ascii="Consolas" w:hAnsi="Consolas" w:eastAsia="Calibri"/>
      <w:sz w:val="21"/>
      <w:szCs w:val="21"/>
      <w:lang w:eastAsia="en-US"/>
    </w:rPr>
  </w:style>
  <w:style w:type="paragraph" w:styleId="NormalWeb">
    <w:name w:val="Normal (Web)"/>
    <w:basedOn w:val="Normal"/>
    <w:uiPriority w:val="99"/>
    <w:unhideWhenUsed/>
    <w:pPr>
      <w:spacing w:beforeAutospacing="1" w:afterAutospacing="1"/>
    </w:pPr>
    <w:rPr>
      <w:rFonts w:ascii="Times New Roman" w:hAnsi="Times New Roman" w:eastAsia="Arial" w:eastAsiaTheme="minorEastAsia"/>
      <w:sz w:val="24"/>
      <w:szCs w:val="24"/>
    </w:rPr>
  </w:style>
  <w:style w:type="paragraph" w:styleId="ListParagraph">
    <w:name w:val="List Paragraph"/>
    <w:basedOn w:val="Normal"/>
    <w:uiPriority w:val="34"/>
    <w:qFormat/>
    <w:pPr>
      <w:spacing w:before="0" w:after="0"/>
      <w:ind w:start="720"/>
      <w:contextualSpacing/>
    </w:pPr>
    <w:rPr/>
  </w:style>
  <w:style w:type="paragraph" w:styleId="TableofFigures">
    <w:name w:val="table of figures"/>
    <w:basedOn w:val="Normal"/>
    <w:next w:val="Normal"/>
    <w:uiPriority w:val="99"/>
    <w:pPr/>
    <w:rPr/>
  </w:style>
  <w:style w:type="paragraph" w:styleId="TOC7">
    <w:name w:val="toc 7"/>
    <w:next w:val="Normal"/>
    <w:uiPriority w:val="39"/>
    <w:pPr>
      <w:widowControl/>
      <w:bidi w:val="0"/>
      <w:spacing w:lineRule="atLeast" w:line="280" w:before="0" w:after="140"/>
      <w:ind w:start="567"/>
      <w:jc w:val="start"/>
    </w:pPr>
    <w:rPr>
      <w:rFonts w:ascii="Calibri" w:hAnsi="Calibri" w:eastAsia="Calibri" w:asciiTheme="minorHAnsi" w:hAnsiTheme="minorHAnsi" w:cs="Times New Roman"/>
      <w:color w:val="auto"/>
      <w:kern w:val="0"/>
      <w:sz w:val="22"/>
      <w:szCs w:val="22"/>
      <w:lang w:eastAsia="en-US" w:val="de-DE" w:bidi="ar-SA"/>
      <w14:ligatures w14:val="standardContextual"/>
    </w:rPr>
  </w:style>
  <w:style w:type="paragraph" w:styleId="docdata" w:customStyle="1">
    <w:name w:val="docdata"/>
    <w:basedOn w:val="Normal"/>
    <w:pPr>
      <w:spacing w:beforeAutospacing="1" w:afterAutospacing="1"/>
    </w:pPr>
    <w:rPr>
      <w:rFonts w:ascii="Times New Roman" w:hAnsi="Times New Roman"/>
      <w:sz w:val="24"/>
      <w:szCs w:val="24"/>
    </w:rPr>
  </w:style>
  <w:style w:type="paragraph" w:styleId="Revision">
    <w:name w:val="Revision"/>
    <w:uiPriority w:val="99"/>
    <w:semiHidden/>
    <w:rsid w:val="00510a69"/>
    <w:pPr>
      <w:widowControl/>
      <w:bidi w:val="0"/>
      <w:spacing w:before="0" w:after="0"/>
      <w:jc w:val="start"/>
    </w:pPr>
    <w:rPr>
      <w:rFonts w:ascii="CG Times" w:hAnsi="CG Times" w:eastAsia="Times New Roman" w:cs="Times New Roman"/>
      <w:color w:val="auto"/>
      <w:kern w:val="0"/>
      <w:sz w:val="20"/>
      <w:szCs w:val="20"/>
      <w:lang w:val="de-DE" w:eastAsia="de-DE" w:bidi="ar-SA"/>
    </w:rPr>
  </w:style>
  <w:style w:type="numbering" w:styleId="KeineListe" w:default="1">
    <w:name w:val="Keine Liste"/>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NormaleTabelle"/>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EinfacheTabelle1">
    <w:name w:val="Plain Table 1"/>
    <w:basedOn w:val="NormaleTabelle"/>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EinfacheTabelle2">
    <w:name w:val="Plain Table 2"/>
    <w:basedOn w:val="NormaleTabelle"/>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EinfacheTabelle3">
    <w:name w:val="Plain Table 3"/>
    <w:basedOn w:val="NormaleTabelle"/>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EinfacheTabelle4">
    <w:name w:val="Plain Table 4"/>
    <w:basedOn w:val="NormaleTabelle"/>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EinfacheTabelle5">
    <w:name w:val="Plain Table 5"/>
    <w:basedOn w:val="NormaleTabelle"/>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Gitternetztabelle1hell">
    <w:name w:val="Grid Table 1 Light"/>
    <w:basedOn w:val="NormaleTabelle"/>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NormaleTabelle"/>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rPr>
      <w:tblPr/>
      <w:tcPr>
        <w:tcBorders>
          <w:bottom w:val="single" w:color="9EC4E6"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GridTable1Light-Accent2">
    <w:name w:val="Grid Table 1 Light - Accent 2"/>
    <w:basedOn w:val="NormaleTabelle"/>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rPr>
      <w:tblPr/>
      <w:tcPr>
        <w:tcBorders>
          <w:bottom w:val="single" w:color="F4B28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GridTable1Light-Accent3">
    <w:name w:val="Grid Table 1 Light - Accent 3"/>
    <w:basedOn w:val="NormaleTabelle"/>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rPr>
      <w:tblPr/>
      <w:tcPr>
        <w:tcBorders>
          <w:bottom w:val="single" w:color="CACACA"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GridTable1Light-Accent4">
    <w:name w:val="Grid Table 1 Light - Accent 4"/>
    <w:basedOn w:val="NormaleTabelle"/>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rPr>
      <w:tblPr/>
      <w:tcPr>
        <w:tcBorders>
          <w:bottom w:val="single" w:color="FFDA6A"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GridTable1Light-Accent5">
    <w:name w:val="Grid Table 1 Light - Accent 5"/>
    <w:basedOn w:val="NormaleTabelle"/>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b/>
      </w:rPr>
      <w:tblPr/>
      <w:tcPr>
        <w:tcBorders>
          <w:bottom w:val="single" w:color="91ACDC"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GridTable1Light-Accent6">
    <w:name w:val="Grid Table 1 Light - Accent 6"/>
    <w:basedOn w:val="NormaleTabelle"/>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rPr>
      <w:tblPr/>
      <w:tcPr>
        <w:tcBorders>
          <w:bottom w:val="single" w:color="AAD190"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styleId="Gitternetztabelle2">
    <w:name w:val="Grid Table 2"/>
    <w:basedOn w:val="NormaleTabelle"/>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rPr>
      <w:tblPr/>
      <w:tcPr>
        <w:tcBorders>
          <w:top w:val="none" w:color="000000" w:sz="4" w:space="0"/>
          <w:left w:val="none" w:color="000000" w:sz="4" w:space="0"/>
          <w:bottom w:val="single" w:color="68A2D8" w:themeColor="accent1" w:sz="12" w:space="0"/>
          <w:right w:val="none" w:color="000000" w:sz="4" w:space="0"/>
        </w:tcBorders>
        <w:shd w:val="clear" w:color="FFFFFF" w:fill="auto"/>
      </w:tcPr>
    </w:tblStylePr>
    <w:tblStylePr w:type="lastRow">
      <w:rPr>
        <w:b/>
      </w:rPr>
      <w:tblPr/>
      <w:tcPr>
        <w:tcBorders>
          <w:top w:val="single" w:color="68A2D8"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DEAF6" w:fill="DDEAF6" w:themeFill="accent1" w:themeFillTint="34"/>
      </w:tcPr>
    </w:tblStylePr>
    <w:tblStylePr w:type="band1Horz">
      <w:rPr>
        <w:sz w:val="22"/>
      </w:rPr>
      <w:tblPr/>
      <w:tcPr>
        <w:shd w:val="clear" w:color="DDEAF6" w:fill="DDEAF6"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Row">
      <w:rPr>
        <w:b/>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Row">
      <w:rPr>
        <w:b/>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rPr>
      <w:tbl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Row">
      <w:rPr>
        <w:b/>
      </w:rPr>
      <w:tblPr/>
      <w:tcPr>
        <w:tcBorders>
          <w:top w:val="single" w:color="4472C4"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DEAF6" w:fill="DDEAF6" w:themeFill="accent1" w:themeFillTint="34"/>
      </w:tcPr>
    </w:tblStylePr>
    <w:tblStylePr w:type="band1Horz">
      <w:rPr>
        <w:sz w:val="22"/>
      </w:rPr>
      <w:tblPr/>
      <w:tcPr>
        <w:shd w:val="clear" w:color="DDEAF6" w:fill="DDEAF6"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itternetztabelle4">
    <w:name w:val="Grid Table 4"/>
    <w:basedOn w:val="NormaleTabelle"/>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b/>
        <w:sz w:val="22"/>
      </w:rPr>
      <w:tblPr/>
      <w:tcPr>
        <w:tcBorders>
          <w:top w:val="single" w:color="68A2D8" w:themeColor="accent1" w:sz="4" w:space="0"/>
          <w:left w:val="single" w:color="68A2D8" w:themeColor="accent1" w:sz="4" w:space="0"/>
          <w:bottom w:val="single" w:color="68A2D8" w:themeColor="accent1" w:sz="4" w:space="0"/>
          <w:right w:val="single" w:color="68A2D8" w:themeColor="accent1" w:sz="4" w:space="0"/>
        </w:tcBorders>
        <w:shd w:val="clear" w:color="68A2D8" w:fill="68A2D8" w:themeFill="accent1" w:themeFillTint="ea"/>
      </w:tcPr>
    </w:tblStylePr>
    <w:tblStylePr w:type="lastRow">
      <w:rPr>
        <w:b/>
      </w:rPr>
      <w:tblPr/>
      <w:tcPr>
        <w:tcBorders>
          <w:top w:val="single" w:color="68A2D8" w:themeColor="accent1" w:sz="4" w:space="0"/>
        </w:tcBorders>
      </w:tcPr>
    </w:tblStylePr>
    <w:tblStylePr w:type="firstCol">
      <w:rPr>
        <w:b/>
      </w:rPr>
      <w:tblPr/>
    </w:tblStylePr>
    <w:tblStylePr w:type="lastCol">
      <w:rPr>
        <w:b/>
      </w:rPr>
      <w:tblPr/>
    </w:tblStylePr>
    <w:tblStylePr w:type="band1Vert">
      <w:rPr>
        <w:sz w:val="22"/>
      </w:rPr>
      <w:tblPr/>
      <w:tcPr>
        <w:shd w:val="clear" w:color="DEEBF6" w:fill="DEEBF6" w:themeFill="accent1" w:themeFillTint="32"/>
      </w:tcPr>
    </w:tblStylePr>
    <w:tblStylePr w:type="band1Horz">
      <w:rPr>
        <w:sz w:val="22"/>
      </w:rPr>
      <w:tblPr/>
      <w:tcPr>
        <w:shd w:val="clear" w:color="DEEBF6" w:fill="DEEBF6"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b/>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Row">
      <w:rPr>
        <w:b/>
      </w:rPr>
      <w:tblPr/>
      <w:tcPr>
        <w:tcBorders>
          <w:top w:val="single" w:color="F4B184" w:themeColor="accent2" w:sz="4" w:space="0"/>
        </w:tcBorders>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b/>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Row">
      <w:rPr>
        <w:b/>
      </w:rPr>
      <w:tblPr/>
      <w:tcPr>
        <w:tcBorders>
          <w:top w:val="single" w:color="A5A5A5" w:themeColor="accent3" w:sz="4" w:space="0"/>
        </w:tcBorders>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b/>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Row">
      <w:rPr>
        <w:b/>
      </w:rPr>
      <w:tblPr/>
      <w:tcPr>
        <w:tcBorders>
          <w:top w:val="single" w:color="FFD865" w:themeColor="accent4" w:sz="4" w:space="0"/>
        </w:tcBorders>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sz w:val="22"/>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hemeFill="accent5"/>
      </w:tcPr>
    </w:tblStylePr>
    <w:tblStylePr w:type="lastRow">
      <w:rPr>
        <w:b/>
      </w:rPr>
      <w:tblPr/>
      <w:tcPr>
        <w:tcBorders>
          <w:top w:val="single" w:color="4472C4" w:themeColor="accent5" w:sz="4" w:space="0"/>
        </w:tcBorders>
      </w:tcPr>
    </w:tblStylePr>
    <w:tblStylePr w:type="firstCol">
      <w:rPr>
        <w:b/>
      </w:rPr>
      <w:tblPr/>
    </w:tblStylePr>
    <w:tblStylePr w:type="lastCol">
      <w:rPr>
        <w:b/>
      </w:rPr>
      <w:tbl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rPr>
      <w:tblPr/>
      <w:tcPr>
        <w:tcBorders>
          <w:top w:val="single" w:color="70AD47" w:themeColor="accent6" w:sz="4" w:space="0"/>
        </w:tcBorders>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5B9BD5" w:fill="5B9BD5" w:themeFill="accent1"/>
      </w:tcPr>
    </w:tblStylePr>
    <w:tblStylePr w:type="lastRow">
      <w:rPr>
        <w:b/>
        <w:sz w:val="22"/>
      </w:rPr>
      <w:tblPr/>
      <w:tcPr>
        <w:tcBorders>
          <w:top w:val="single" w:color="FFFFFF" w:themeColor="light1" w:sz="4" w:space="0"/>
        </w:tcBorders>
        <w:shd w:val="clear" w:color="5B9BD5" w:fill="5B9BD5" w:themeFill="accent1"/>
      </w:tcPr>
    </w:tblStylePr>
    <w:tblStylePr w:type="firstCol">
      <w:rPr>
        <w:b/>
        <w:sz w:val="22"/>
      </w:rPr>
      <w:tblPr/>
      <w:tcPr>
        <w:shd w:val="clear" w:color="5B9BD5" w:fill="5B9BD5" w:themeFill="accent1"/>
      </w:tcPr>
    </w:tblStylePr>
    <w:tblStylePr w:type="lastCol">
      <w:rPr>
        <w:b/>
        <w:sz w:val="22"/>
      </w:rPr>
      <w:tblPr/>
      <w:tcPr>
        <w:shd w:val="clear" w:color="5B9BD5" w:fill="5B9BD5" w:themeFill="accent1"/>
      </w:tcPr>
    </w:tblStylePr>
    <w:tblStylePr w:type="band1Vert">
      <w:tblPr/>
      <w:tcPr>
        <w:shd w:val="clear" w:color="B3D0EB" w:fill="B3D0EB" w:themeFill="accent1" w:themeFillTint="75"/>
      </w:tcPr>
    </w:tblStylePr>
    <w:tblStylePr w:type="band1Horz">
      <w:tblPr/>
      <w:tcPr>
        <w:shd w:val="clear" w:color="B3D0EB" w:fill="B3D0EB"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ED7D31" w:fill="ED7D31" w:themeFill="accent2"/>
      </w:tcPr>
    </w:tblStylePr>
    <w:tblStylePr w:type="lastRow">
      <w:rPr>
        <w:b/>
        <w:sz w:val="22"/>
      </w:rPr>
      <w:tblPr/>
      <w:tcPr>
        <w:tcBorders>
          <w:top w:val="single" w:color="FFFFFF" w:themeColor="light1" w:sz="4" w:space="0"/>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A5A5A5" w:fill="A5A5A5" w:themeFill="accent3"/>
      </w:tcPr>
    </w:tblStylePr>
    <w:tblStylePr w:type="lastRow">
      <w:rPr>
        <w:b/>
        <w:sz w:val="22"/>
      </w:rPr>
      <w:tblPr/>
      <w:tcPr>
        <w:tcBorders>
          <w:top w:val="single" w:color="FFFFFF" w:themeColor="light1" w:sz="4" w:space="0"/>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C000" w:fill="FFC000" w:themeFill="accent4"/>
      </w:tcPr>
    </w:tblStylePr>
    <w:tblStylePr w:type="lastRow">
      <w:rPr>
        <w:b/>
        <w:sz w:val="22"/>
      </w:rPr>
      <w:tblPr/>
      <w:tcPr>
        <w:tcBorders>
          <w:top w:val="single" w:color="FFFFFF" w:themeColor="light1" w:sz="4" w:space="0"/>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472C4" w:fill="4472C4" w:themeFill="accent5"/>
      </w:tcPr>
    </w:tblStylePr>
    <w:tblStylePr w:type="lastRow">
      <w:rPr>
        <w:b/>
        <w:sz w:val="22"/>
      </w:rPr>
      <w:tblPr/>
      <w:tcPr>
        <w:tcBorders>
          <w:top w:val="single" w:color="FFFFFF" w:themeColor="light1" w:sz="4" w:space="0"/>
        </w:tcBorders>
        <w:shd w:val="clear" w:color="4472C4" w:fill="4472C4" w:themeFill="accent5"/>
      </w:tcPr>
    </w:tblStylePr>
    <w:tblStylePr w:type="firstCol">
      <w:rPr>
        <w:b/>
        <w:sz w:val="22"/>
      </w:rPr>
      <w:tblPr/>
      <w:tcPr>
        <w:shd w:val="clear" w:color="4472C4" w:fill="4472C4" w:themeFill="accent5"/>
      </w:tcPr>
    </w:tblStylePr>
    <w:tblStylePr w:type="lastCol">
      <w:rPr>
        <w:b/>
        <w:sz w:val="22"/>
      </w:rPr>
      <w:tblPr/>
      <w:tcPr>
        <w:shd w:val="clear" w:color="4472C4" w:fill="4472C4" w:themeFill="accent5"/>
      </w:tcPr>
    </w:tblStylePr>
    <w:tblStylePr w:type="band1Vert">
      <w:tblPr/>
      <w:tcPr>
        <w:shd w:val="clear" w:color="A9BEE4" w:fill="A9BEE4" w:themeFill="accent5" w:themeFillTint="75"/>
      </w:tcPr>
    </w:tblStylePr>
    <w:tblStylePr w:type="band1Horz">
      <w:tblPr/>
      <w:tcPr>
        <w:shd w:val="clear" w:color="A9BEE4" w:fill="A9BE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70AD47" w:fill="70AD47" w:themeFill="accent6"/>
      </w:tcPr>
    </w:tblStylePr>
    <w:tblStylePr w:type="lastRow">
      <w:rPr>
        <w:b/>
        <w:sz w:val="22"/>
      </w:rPr>
      <w:tblPr/>
      <w:tcPr>
        <w:tcBorders>
          <w:top w:val="single" w:color="FFFFFF" w:themeColor="light1" w:sz="4" w:space="0"/>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7F7F7F"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NormaleTabelle"/>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rPr>
      <w:tblPr/>
      <w:tcPr>
        <w:tcBorders>
          <w:bottom w:val="single" w:color="ACCCEA" w:themeColor="accent1" w:sz="12" w:space="0"/>
        </w:tcBorders>
      </w:tcPr>
    </w:tblStylePr>
    <w:tblStylePr w:type="lastRow">
      <w:rPr>
        <w:b/>
        <w:color w:val="acccea" w:themeColor="accent1" w:themeTint="80" w:themeShade="95"/>
      </w:rPr>
      <w:tblPr/>
    </w:tblStylePr>
    <w:tblStylePr w:type="firstCol">
      <w:rPr>
        <w:b/>
        <w:color w:val="acccea" w:themeColor="accent1" w:themeTint="80" w:themeShade="95"/>
      </w:rPr>
      <w:tblPr/>
    </w:tblStylePr>
    <w:tblStylePr w:type="lastCol">
      <w:rPr>
        <w:b/>
        <w:color w:val="acccea" w:themeColor="accent1" w:themeTint="80" w:themeShade="95"/>
      </w:rPr>
      <w:tbl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Pr/>
    </w:tblStylePr>
  </w:style>
  <w:style w:type="table" w:customStyle="1" w:styleId="GridTable6Colorful-Accent2">
    <w:name w:val="Grid Table 6 Colorful - Accent 2"/>
    <w:basedOn w:val="NormaleTabelle"/>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blPr/>
      <w:tcPr>
        <w:tcBorders>
          <w:bottom w:val="single" w:color="F4B184" w:themeColor="accent2" w:sz="12" w:space="0"/>
        </w:tcBorders>
      </w:tcPr>
    </w:tblStylePr>
    <w:tblStylePr w:type="lastRow">
      <w:rPr>
        <w:b/>
        <w:color w:val="f4b184" w:themeColor="accent2" w:themeTint="97" w:themeShade="95"/>
      </w:rPr>
      <w:tbl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6Colorful-Accent3">
    <w:name w:val="Grid Table 6 Colorful - Accent 3"/>
    <w:basedOn w:val="NormaleTabelle"/>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blPr/>
      <w:tcPr>
        <w:tcBorders>
          <w:bottom w:val="single" w:color="A5A5A5" w:themeColor="accent3" w:sz="12" w:space="0"/>
        </w:tcBorders>
      </w:tcPr>
    </w:tblStylePr>
    <w:tblStylePr w:type="lastRow">
      <w:rPr>
        <w:b/>
        <w:color w:val="a5a5a5" w:themeColor="accent3" w:themeTint="fe" w:themeShade="95"/>
      </w:rPr>
      <w:tblPr/>
    </w:tblStylePr>
    <w:tblStylePr w:type="firstCol">
      <w:rPr>
        <w:b/>
        <w:color w:val="a5a5a5" w:themeColor="accent3" w:themeTint="fe" w:themeShade="95"/>
      </w:rPr>
      <w:tblPr/>
    </w:tblStylePr>
    <w:tblStylePr w:type="lastCol">
      <w:rPr>
        <w:b/>
        <w:color w:val="a5a5a5" w:themeColor="accent3" w:themeTint="fe" w:themeShade="95"/>
      </w:rPr>
      <w:tbl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6Colorful-Accent4">
    <w:name w:val="Grid Table 6 Colorful - Accent 4"/>
    <w:basedOn w:val="NormaleTabelle"/>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blPr/>
      <w:tcPr>
        <w:tcBorders>
          <w:bottom w:val="single" w:color="FFD865" w:themeColor="accent4" w:sz="12" w:space="0"/>
        </w:tcBorders>
      </w:tcPr>
    </w:tblStylePr>
    <w:tblStylePr w:type="lastRow">
      <w:rPr>
        <w:b/>
        <w:color w:val="ffd865" w:themeColor="accent4" w:themeTint="9a" w:themeShade="95"/>
      </w:rPr>
      <w:tbl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6Colorful-Accent5">
    <w:name w:val="Grid Table 6 Colorful - Accent 5"/>
    <w:basedOn w:val="NormaleTabelle"/>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5" w:themeColor="accent5" w:themeShade="95"/>
      </w:rPr>
      <w:tblPr/>
      <w:tcPr>
        <w:tcBorders>
          <w:bottom w:val="single" w:color="4472C4" w:themeColor="accent5" w:sz="12" w:space="0"/>
        </w:tcBorders>
      </w:tcPr>
    </w:tblStylePr>
    <w:tblStylePr w:type="lastRow">
      <w:rPr>
        <w:b/>
        <w:color w:val="254175" w:themeColor="accent5" w:themeShade="95"/>
      </w:rPr>
      <w:tblPr/>
    </w:tblStylePr>
    <w:tblStylePr w:type="firstCol">
      <w:rPr>
        <w:b/>
        <w:color w:val="254175" w:themeColor="accent5" w:themeShade="95"/>
      </w:rPr>
      <w:tblPr/>
    </w:tblStylePr>
    <w:tblStylePr w:type="lastCol">
      <w:rPr>
        <w:b/>
        <w:color w:val="254175" w:themeColor="accent5" w:themeShade="95"/>
      </w:rPr>
      <w:tbl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Pr/>
    </w:tblStylePr>
  </w:style>
  <w:style w:type="table" w:customStyle="1" w:styleId="GridTable6Colorful-Accent6">
    <w:name w:val="Grid Table 6 Colorful - Accent 6"/>
    <w:basedOn w:val="NormaleTabelle"/>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5" w:themeColor="accent5" w:themeShade="95"/>
      </w:rPr>
      <w:tblPr/>
      <w:tcPr>
        <w:tcBorders>
          <w:bottom w:val="single" w:color="70AD47" w:themeColor="accent6" w:sz="12" w:space="0"/>
        </w:tcBorders>
      </w:tcPr>
    </w:tblStylePr>
    <w:tblStylePr w:type="lastRow">
      <w:rPr>
        <w:b/>
        <w:color w:val="254175" w:themeColor="accent5" w:themeShade="95"/>
      </w:rPr>
      <w:tblPr/>
    </w:tblStylePr>
    <w:tblStylePr w:type="firstCol">
      <w:rPr>
        <w:b/>
        <w:color w:val="254175" w:themeColor="accent5" w:themeShade="95"/>
      </w:rPr>
      <w:tblPr/>
    </w:tblStylePr>
    <w:tblStylePr w:type="lastCol">
      <w:rPr>
        <w:b/>
        <w:color w:val="254175" w:themeColor="accent5" w:themeShade="95"/>
      </w:rPr>
      <w:tblPr/>
    </w:tblStylePr>
    <w:tblStylePr w:type="band1Vert">
      <w:tblPr/>
      <w:tcPr>
        <w:shd w:val="clear" w:color="E1EFD8" w:fill="E1EFD8" w:themeFill="accent6" w:themeFillTint="34"/>
      </w:tcPr>
    </w:tblStylePr>
    <w:tblStylePr w:type="band1Horz">
      <w:rPr>
        <w:color w:val="254175" w:themeColor="accent5" w:themeShade="95"/>
        <w:sz w:val="22"/>
      </w:rPr>
      <w:tblPr/>
      <w:tcPr>
        <w:shd w:val="clear" w:color="E1EFD8" w:fill="E1EFD8" w:themeFill="accent6" w:themeFillTint="34"/>
      </w:tcPr>
    </w:tblStylePr>
    <w:tblStylePr w:type="band2Horz">
      <w:rPr>
        <w:color w:val="254175" w:themeColor="accent5" w:themeShade="95"/>
        <w:sz w:val="22"/>
      </w:rPr>
      <w:tblPr/>
    </w:tblStylePr>
  </w:style>
  <w:style w:type="table" w:styleId="Gitternetztabelle7farbig">
    <w:name w:val="Grid Table 7 Colorful"/>
    <w:basedOn w:val="NormaleTabelle"/>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val="7f7f7f"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
    <w:name w:val="Grid Table 7 Colorful - Accent 1"/>
    <w:basedOn w:val="NormaleTabelle"/>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sz w:val="22"/>
      </w:rPr>
      <w:tblPr/>
      <w:tcPr>
        <w:tcBorders>
          <w:top w:val="none" w:color="000000" w:sz="4" w:space="0"/>
          <w:left w:val="none" w:color="000000" w:sz="4" w:space="0"/>
          <w:bottom w:val="single" w:color="ACCCEA" w:themeColor="accent1" w:sz="4" w:space="0"/>
          <w:right w:val="none" w:color="000000" w:sz="4" w:space="0"/>
        </w:tcBorders>
        <w:shd w:val="clear" w:color="FFFFFF" w:fill="FFFFFF" w:themeFill="light1"/>
      </w:tcPr>
    </w:tblStylePr>
    <w:tblStylePr w:type="lastRow">
      <w:rPr>
        <w:b/>
        <w:color w:val="acccea" w:themeColor="accent1" w:themeTint="80" w:themeShade="95"/>
        <w:sz w:val="22"/>
      </w:rPr>
      <w:tblPr/>
      <w:tcPr>
        <w:tcBorders>
          <w:top w:val="single" w:color="ACCCEA"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acccea" w:themeColor="accent1" w:themeTint="80" w:themeShade="95"/>
        <w:sz w:val="22"/>
      </w:rPr>
      <w:tblPr/>
      <w:tcPr>
        <w:tcBorders>
          <w:top w:val="none" w:color="000000" w:sz="4" w:space="0"/>
          <w:left w:val="none" w:color="000000" w:sz="4" w:space="0"/>
          <w:bottom w:val="none" w:color="000000" w:sz="4" w:space="0"/>
          <w:right w:val="single" w:color="ACCCEA" w:themeColor="accent1" w:sz="4" w:space="0"/>
        </w:tcBorders>
        <w:shd w:val="clear" w:color="FFFFFF" w:fill="auto"/>
      </w:tcPr>
    </w:tblStylePr>
    <w:tblStylePr w:type="lastCol">
      <w:rPr>
        <w:i/>
        <w:color w:val="acccea" w:themeColor="accent1" w:themeTint="80" w:themeShade="95"/>
        <w:sz w:val="22"/>
      </w:rPr>
      <w:tblPr/>
      <w:tcPr>
        <w:tcBorders>
          <w:top w:val="none" w:color="000000" w:sz="4" w:space="0"/>
          <w:left w:val="single" w:color="ACCCEA" w:themeColor="accent1" w:sz="4" w:space="0"/>
          <w:bottom w:val="none" w:color="000000" w:sz="4" w:space="0"/>
          <w:right w:val="none" w:color="000000" w:sz="4" w:space="0"/>
        </w:tcBorders>
        <w:shd w:val="clear" w:color="FFFFFF" w:fill="auto"/>
      </w:tc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Pr/>
    </w:tblStylePr>
  </w:style>
  <w:style w:type="table" w:customStyle="1" w:styleId="GridTable7Colorful-Accent2">
    <w:name w:val="Grid Table 7 Colorful - Accent 2"/>
    <w:basedOn w:val="NormaleTabelle"/>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Row">
      <w:rPr>
        <w:b/>
        <w:color w:val="f4b184"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f4b184"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7Colorful-Accent3">
    <w:name w:val="Grid Table 7 Colorful - Accent 3"/>
    <w:basedOn w:val="NormaleTabelle"/>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sz w:val="22"/>
      </w:rPr>
      <w:tblPr/>
      <w:tcPr>
        <w:tcBorders>
          <w:top w:val="none" w:color="000000" w:sz="4" w:space="0"/>
          <w:left w:val="none" w:color="000000" w:sz="4" w:space="0"/>
          <w:bottom w:val="single" w:color="A5A5A5" w:themeColor="accent3" w:sz="4" w:space="0"/>
          <w:right w:val="none" w:color="000000" w:sz="4" w:space="0"/>
        </w:tcBorders>
        <w:shd w:val="clear" w:color="FFFFFF" w:fill="FFFFFF" w:themeFill="light1"/>
      </w:tcPr>
    </w:tblStylePr>
    <w:tblStylePr w:type="lastRow">
      <w:rPr>
        <w:b/>
        <w:color w:val="a5a5a5" w:themeColor="accent3" w:themeTint="fe" w:themeShade="95"/>
        <w:sz w:val="22"/>
      </w:rPr>
      <w:tblPr/>
      <w:tcPr>
        <w:tcBorders>
          <w:top w:val="single" w:color="A5A5A5"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a5a5a5" w:themeColor="accent3" w:themeTint="fe" w:themeShade="95"/>
        <w:sz w:val="22"/>
      </w:rPr>
      <w:tblPr/>
      <w:tcPr>
        <w:tcBorders>
          <w:top w:val="none" w:color="000000" w:sz="4" w:space="0"/>
          <w:left w:val="none" w:color="000000" w:sz="4" w:space="0"/>
          <w:bottom w:val="none" w:color="000000" w:sz="4" w:space="0"/>
          <w:right w:val="single" w:color="A5A5A5" w:themeColor="accent3" w:sz="4" w:space="0"/>
        </w:tcBorders>
        <w:shd w:val="clear" w:color="FFFFFF" w:fill="auto"/>
      </w:tcPr>
    </w:tblStylePr>
    <w:tblStylePr w:type="lastCol">
      <w:rPr>
        <w:i/>
        <w:color w:val="a5a5a5" w:themeColor="accent3" w:themeTint="fe" w:themeShade="95"/>
        <w:sz w:val="22"/>
      </w:rPr>
      <w:tblPr/>
      <w:tcPr>
        <w:tcBorders>
          <w:top w:val="none" w:color="000000" w:sz="4" w:space="0"/>
          <w:left w:val="single" w:color="A5A5A5" w:themeColor="accent3" w:sz="4" w:space="0"/>
          <w:bottom w:val="none" w:color="000000" w:sz="4" w:space="0"/>
          <w:right w:val="none" w:color="000000" w:sz="4" w:space="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7Colorful-Accent4">
    <w:name w:val="Grid Table 7 Colorful - Accent 4"/>
    <w:basedOn w:val="NormaleTabelle"/>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Row">
      <w:rPr>
        <w:b/>
        <w:color w:val="ffd865"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ffd865"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7Colorful-Accent5">
    <w:name w:val="Grid Table 7 Colorful - Accent 5"/>
    <w:basedOn w:val="NormaleTabelle"/>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color w:val="254175" w:themeColor="accent5" w:themeShade="95"/>
        <w:sz w:val="22"/>
      </w:rPr>
      <w:tblPr/>
      <w:tcPr>
        <w:tcBorders>
          <w:top w:val="none" w:color="000000" w:sz="4" w:space="0"/>
          <w:left w:val="none" w:color="000000" w:sz="4" w:space="0"/>
          <w:bottom w:val="single" w:color="95AFDD" w:themeColor="accent5" w:sz="4" w:space="0"/>
          <w:right w:val="none" w:color="000000" w:sz="4" w:space="0"/>
        </w:tcBorders>
        <w:shd w:val="clear" w:color="FFFFFF" w:fill="FFFFFF" w:themeFill="light1"/>
      </w:tcPr>
    </w:tblStylePr>
    <w:tblStylePr w:type="lastRow">
      <w:rPr>
        <w:b/>
        <w:color w:val="254175" w:themeColor="accent5" w:themeShade="95"/>
        <w:sz w:val="22"/>
      </w:rPr>
      <w:tblPr/>
      <w:tcPr>
        <w:tcBorders>
          <w:top w:val="single" w:color="95AFDD"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254175" w:themeColor="accent5" w:themeShade="95"/>
        <w:sz w:val="22"/>
      </w:rPr>
      <w:tblPr/>
      <w:tcPr>
        <w:tcBorders>
          <w:top w:val="none" w:color="000000" w:sz="4" w:space="0"/>
          <w:left w:val="none" w:color="000000" w:sz="4" w:space="0"/>
          <w:bottom w:val="none" w:color="000000" w:sz="4" w:space="0"/>
          <w:right w:val="single" w:color="95AFDD" w:themeColor="accent5" w:sz="4" w:space="0"/>
        </w:tcBorders>
        <w:shd w:val="clear" w:color="FFFFFF" w:fill="auto"/>
      </w:tcPr>
    </w:tblStylePr>
    <w:tblStylePr w:type="lastCol">
      <w:rPr>
        <w:i/>
        <w:color w:val="254175" w:themeColor="accent5" w:themeShade="95"/>
        <w:sz w:val="22"/>
      </w:rPr>
      <w:tblPr/>
      <w:tcPr>
        <w:tcBorders>
          <w:top w:val="none" w:color="000000" w:sz="4" w:space="0"/>
          <w:left w:val="single" w:color="95AFDD" w:themeColor="accent5" w:sz="4" w:space="0"/>
          <w:bottom w:val="none" w:color="000000" w:sz="4" w:space="0"/>
          <w:right w:val="none" w:color="000000" w:sz="4" w:space="0"/>
        </w:tcBorders>
        <w:shd w:val="clear" w:color="FFFFFF" w:fill="auto"/>
      </w:tc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Pr/>
    </w:tblStylePr>
  </w:style>
  <w:style w:type="table" w:customStyle="1" w:styleId="GridTable7Colorful-Accent6">
    <w:name w:val="Grid Table 7 Colorful - Accent 6"/>
    <w:basedOn w:val="NormaleTabelle"/>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416429" w:themeColor="accent6" w:themeShade="95"/>
        <w:sz w:val="22"/>
      </w:rPr>
      <w:tblPr/>
      <w:tcPr>
        <w:tcBorders>
          <w:top w:val="none" w:color="000000" w:sz="4" w:space="0"/>
          <w:left w:val="none" w:color="000000" w:sz="4" w:space="0"/>
          <w:bottom w:val="single" w:color="ADD394" w:themeColor="accent6" w:sz="4" w:space="0"/>
          <w:right w:val="none" w:color="000000" w:sz="4" w:space="0"/>
        </w:tcBorders>
        <w:shd w:val="clear" w:color="FFFFFF" w:fill="FFFFFF" w:themeFill="light1"/>
      </w:tcPr>
    </w:tblStylePr>
    <w:tblStylePr w:type="lastRow">
      <w:rPr>
        <w:b/>
        <w:color w:val="416429" w:themeColor="accent6" w:themeShade="95"/>
        <w:sz w:val="22"/>
      </w:rPr>
      <w:tblPr/>
      <w:tcPr>
        <w:tcBorders>
          <w:top w:val="single" w:color="ADD394"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416429" w:themeColor="accent6" w:themeShade="95"/>
        <w:sz w:val="22"/>
      </w:rPr>
      <w:tblPr/>
      <w:tcPr>
        <w:tcBorders>
          <w:top w:val="none" w:color="000000" w:sz="4" w:space="0"/>
          <w:left w:val="none" w:color="000000" w:sz="4" w:space="0"/>
          <w:bottom w:val="none" w:color="000000" w:sz="4" w:space="0"/>
          <w:right w:val="single" w:color="ADD394" w:themeColor="accent6" w:sz="4" w:space="0"/>
        </w:tcBorders>
        <w:shd w:val="clear" w:color="FFFFFF" w:fill="auto"/>
      </w:tcPr>
    </w:tblStylePr>
    <w:tblStylePr w:type="lastCol">
      <w:rPr>
        <w:i/>
        <w:color w:val="416429" w:themeColor="accent6" w:themeShade="95"/>
        <w:sz w:val="22"/>
      </w:rPr>
      <w:tblPr/>
      <w:tcPr>
        <w:tcBorders>
          <w:top w:val="none" w:color="000000" w:sz="4" w:space="0"/>
          <w:left w:val="single" w:color="ADD394" w:themeColor="accent6" w:sz="4" w:space="0"/>
          <w:bottom w:val="none" w:color="000000" w:sz="4" w:space="0"/>
          <w:right w:val="none" w:color="000000" w:sz="4" w:space="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Pr/>
    </w:tblStylePr>
  </w:style>
  <w:style w:type="table" w:styleId="Listentabelle1hell">
    <w:name w:val="List Table 1 Light"/>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5B9BD5" w:themeColor="accent1" w:sz="4" w:space="0"/>
          <w:right w:val="none" w:color="000000" w:sz="4" w:space="0"/>
        </w:tcBorders>
      </w:tcPr>
    </w:tblStylePr>
    <w:tblStylePr w:type="lastRow">
      <w:rPr>
        <w:b/>
      </w:rPr>
      <w:tblPr/>
      <w:tcPr>
        <w:tcBorders>
          <w:top w:val="single" w:color="5B9BD5"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5E5F4" w:fill="D5E5F4" w:themeFill="accent1" w:themeFillTint="40"/>
      </w:tcPr>
    </w:tblStylePr>
    <w:tblStylePr w:type="band1Horz">
      <w:tblPr/>
      <w:tcPr>
        <w:shd w:val="clear" w:color="D5E5F4" w:fill="D5E5F4"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4472C4" w:themeColor="accent5" w:sz="4" w:space="0"/>
          <w:right w:val="none" w:color="000000" w:sz="4" w:space="0"/>
        </w:tcBorders>
      </w:tcPr>
    </w:tblStylePr>
    <w:tblStylePr w:type="lastRow">
      <w:rPr>
        <w:b/>
      </w:rPr>
      <w:tblPr/>
      <w:tcPr>
        <w:tcBorders>
          <w:top w:val="single" w:color="4472C4"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CFDBF0" w:fill="CFDBF0" w:themeFill="accent5" w:themeFillTint="40"/>
      </w:tcPr>
    </w:tblStylePr>
    <w:tblStylePr w:type="band1Horz">
      <w:tblPr/>
      <w:tcPr>
        <w:shd w:val="clear" w:color="CFDBF0" w:fill="CFDB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Listentabelle2">
    <w:name w:val="List Table 2"/>
    <w:basedOn w:val="NormaleTabelle"/>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b/>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lastRow">
      <w:rPr>
        <w:b/>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5E5F4" w:fill="D5E5F4" w:themeFill="accent1" w:themeFillTint="40"/>
      </w:tcPr>
    </w:tblStylePr>
    <w:tblStylePr w:type="band1Horz">
      <w:rPr>
        <w:sz w:val="22"/>
      </w:rPr>
      <w:tblPr/>
      <w:tcPr>
        <w:shd w:val="clear" w:color="D5E5F4" w:fill="D5E5F4"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b/>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lastRow">
      <w:rPr>
        <w:b/>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CFDBF0" w:fill="CFDBF0" w:themeFill="accent5" w:themeFillTint="40"/>
      </w:tcPr>
    </w:tblStylePr>
    <w:tblStylePr w:type="band1Horz">
      <w:rPr>
        <w:sz w:val="22"/>
      </w:rPr>
      <w:tblPr/>
      <w:tcPr>
        <w:shd w:val="clear" w:color="CFDBF0" w:fill="CFDB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Listentabelle3">
    <w:name w:val="List Table 3"/>
    <w:basedOn w:val="NormaleTabelle"/>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NormaleTabelle"/>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sz w:val="22"/>
      </w:rPr>
      <w:tblPr/>
      <w:tcPr>
        <w:shd w:val="clear" w:color="5B9BD5" w:fill="5B9BD5"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5B9BD5" w:themeColor="accent1" w:sz="4" w:space="0"/>
          <w:right w:val="single" w:color="5B9BD5" w:themeColor="accent1" w:sz="4" w:space="0"/>
        </w:tcBorders>
      </w:tcPr>
    </w:tblStylePr>
    <w:tblStylePr w:type="band1Horz">
      <w:rPr>
        <w:sz w:val="22"/>
      </w:rPr>
      <w:tblPr/>
      <w:tcPr>
        <w:tcBorders>
          <w:top w:val="single" w:color="5B9BD5" w:themeColor="accent1" w:sz="4" w:space="0"/>
          <w:bottom w:val="single" w:color="5B9BD5" w:themeColor="accent1" w:sz="4" w:space="0"/>
        </w:tcBorders>
      </w:tcPr>
    </w:tblStylePr>
  </w:style>
  <w:style w:type="table" w:customStyle="1" w:styleId="ListTable3-Accent2">
    <w:name w:val="List Table 3 - Accent 2"/>
    <w:basedOn w:val="NormaleTabelle"/>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b/>
        <w:sz w:val="22"/>
      </w:rPr>
      <w:tblPr/>
      <w:tcPr>
        <w:shd w:val="clear" w:color="F4B184" w:fill="F4B184"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4B184" w:themeColor="accent2" w:sz="4" w:space="0"/>
          <w:right w:val="single" w:color="F4B184" w:themeColor="accent2" w:sz="4" w:space="0"/>
        </w:tcBorders>
      </w:tcPr>
    </w:tblStylePr>
    <w:tblStylePr w:type="band1Horz">
      <w:rPr>
        <w:sz w:val="22"/>
      </w:rPr>
      <w:tblPr/>
      <w:tcPr>
        <w:tcBorders>
          <w:top w:val="single" w:color="F4B184" w:themeColor="accent2" w:sz="4" w:space="0"/>
          <w:bottom w:val="single" w:color="F4B184" w:themeColor="accent2" w:sz="4" w:space="0"/>
        </w:tcBorders>
      </w:tcPr>
    </w:tblStylePr>
  </w:style>
  <w:style w:type="table" w:customStyle="1" w:styleId="ListTable3-Accent3">
    <w:name w:val="List Table 3 - Accent 3"/>
    <w:basedOn w:val="NormaleTabelle"/>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b/>
        <w:sz w:val="22"/>
      </w:rPr>
      <w:tblPr/>
      <w:tcPr>
        <w:shd w:val="clear" w:color="C9C9C9" w:fill="C9C9C9"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9C9C9" w:themeColor="accent3" w:sz="4" w:space="0"/>
          <w:right w:val="single" w:color="C9C9C9" w:themeColor="accent3" w:sz="4" w:space="0"/>
        </w:tcBorders>
      </w:tcPr>
    </w:tblStylePr>
    <w:tblStylePr w:type="band1Horz">
      <w:rPr>
        <w:sz w:val="22"/>
      </w:rPr>
      <w:tblPr/>
      <w:tcPr>
        <w:tcBorders>
          <w:top w:val="single" w:color="C9C9C9" w:themeColor="accent3" w:sz="4" w:space="0"/>
          <w:bottom w:val="single" w:color="C9C9C9" w:themeColor="accent3" w:sz="4" w:space="0"/>
        </w:tcBorders>
      </w:tcPr>
    </w:tblStylePr>
  </w:style>
  <w:style w:type="table" w:customStyle="1" w:styleId="ListTable3-Accent4">
    <w:name w:val="List Table 3 - Accent 4"/>
    <w:basedOn w:val="NormaleTabelle"/>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b/>
        <w:sz w:val="22"/>
      </w:rPr>
      <w:tblPr/>
      <w:tcPr>
        <w:shd w:val="clear" w:color="FFD865" w:fill="FFD865"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FD865" w:themeColor="accent4" w:sz="4" w:space="0"/>
          <w:right w:val="single" w:color="FFD865" w:themeColor="accent4" w:sz="4" w:space="0"/>
        </w:tcBorders>
      </w:tcPr>
    </w:tblStylePr>
    <w:tblStylePr w:type="band1Horz">
      <w:rPr>
        <w:sz w:val="22"/>
      </w:rPr>
      <w:tblPr/>
      <w:tcPr>
        <w:tcBorders>
          <w:top w:val="single" w:color="FFD865" w:themeColor="accent4" w:sz="4" w:space="0"/>
          <w:bottom w:val="single" w:color="FFD865" w:themeColor="accent4" w:sz="4" w:space="0"/>
        </w:tcBorders>
      </w:tcPr>
    </w:tblStylePr>
  </w:style>
  <w:style w:type="table" w:customStyle="1" w:styleId="ListTable3-Accent5">
    <w:name w:val="List Table 3 - Accent 5"/>
    <w:basedOn w:val="NormaleTabelle"/>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firstRow">
      <w:rPr>
        <w:b/>
        <w:sz w:val="22"/>
      </w:rPr>
      <w:tblPr/>
      <w:tcPr>
        <w:shd w:val="clear" w:color="8DA9DB" w:fill="8DA9DB"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8DA9DB" w:themeColor="accent5" w:sz="4" w:space="0"/>
          <w:right w:val="single" w:color="8DA9DB" w:themeColor="accent5" w:sz="4" w:space="0"/>
        </w:tcBorders>
      </w:tcPr>
    </w:tblStylePr>
    <w:tblStylePr w:type="band1Horz">
      <w:rPr>
        <w:sz w:val="22"/>
      </w:rPr>
      <w:tblPr/>
      <w:tcPr>
        <w:tcBorders>
          <w:top w:val="single" w:color="8DA9DB" w:themeColor="accent5" w:sz="4" w:space="0"/>
          <w:bottom w:val="single" w:color="8DA9DB" w:themeColor="accent5" w:sz="4" w:space="0"/>
        </w:tcBorders>
      </w:tcPr>
    </w:tblStylePr>
  </w:style>
  <w:style w:type="table" w:customStyle="1" w:styleId="ListTable3-Accent6">
    <w:name w:val="List Table 3 - Accent 6"/>
    <w:basedOn w:val="NormaleTabelle"/>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b/>
        <w:sz w:val="22"/>
      </w:rPr>
      <w:tblPr/>
      <w:tcPr>
        <w:shd w:val="clear" w:color="A9D08E" w:fill="A9D08E"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A9D08E" w:themeColor="accent6" w:sz="4" w:space="0"/>
          <w:right w:val="single" w:color="A9D08E" w:themeColor="accent6" w:sz="4" w:space="0"/>
        </w:tcBorders>
      </w:tcPr>
    </w:tblStylePr>
    <w:tblStylePr w:type="band1Horz">
      <w:rPr>
        <w:sz w:val="22"/>
      </w:rPr>
      <w:tblPr/>
      <w:tcPr>
        <w:tcBorders>
          <w:top w:val="single" w:color="A9D08E" w:themeColor="accent6" w:sz="4" w:space="0"/>
          <w:bottom w:val="single" w:color="A9D08E" w:themeColor="accent6" w:sz="4" w:space="0"/>
        </w:tcBorders>
      </w:tcPr>
    </w:tblStylePr>
  </w:style>
  <w:style w:type="table" w:styleId="Listentabelle4">
    <w:name w:val="List Table 4"/>
    <w:basedOn w:val="NormaleTabelle"/>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b/>
        <w:sz w:val="22"/>
      </w:rPr>
      <w:tblPr/>
      <w:tcPr>
        <w:shd w:val="clear" w:color="5B9BD5" w:fill="5B9BD5"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5E5F4" w:fill="D5E5F4" w:themeFill="accent1" w:themeFillTint="40"/>
      </w:tcPr>
    </w:tblStylePr>
    <w:tblStylePr w:type="band1Horz">
      <w:rPr>
        <w:sz w:val="22"/>
      </w:rPr>
      <w:tblPr/>
      <w:tcPr>
        <w:shd w:val="clear" w:color="D5E5F4" w:fill="D5E5F4"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b/>
        <w:sz w:val="22"/>
      </w:rPr>
      <w:tblPr/>
      <w:tcPr>
        <w:shd w:val="clear" w:color="ED7D31" w:fill="ED7D31"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b/>
        <w:sz w:val="22"/>
      </w:rPr>
      <w:tblPr/>
      <w:tcPr>
        <w:shd w:val="clear" w:color="A5A5A5" w:fill="A5A5A5"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b/>
        <w:sz w:val="22"/>
      </w:rPr>
      <w:tblPr/>
      <w:tcPr>
        <w:shd w:val="clear" w:color="FFC000" w:fill="FFC000"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b/>
        <w:sz w:val="22"/>
      </w:rPr>
      <w:tblPr/>
      <w:tcPr>
        <w:shd w:val="clear" w:color="4472C4" w:fill="4472C4"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CFDBF0" w:fill="CFDBF0" w:themeFill="accent5" w:themeFillTint="40"/>
      </w:tcPr>
    </w:tblStylePr>
    <w:tblStylePr w:type="band1Horz">
      <w:rPr>
        <w:sz w:val="22"/>
      </w:rPr>
      <w:tblPr/>
      <w:tcPr>
        <w:shd w:val="clear" w:color="CFDBF0" w:fill="CFDB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b/>
        <w:sz w:val="22"/>
      </w:rPr>
      <w:tblPr/>
      <w:tcPr>
        <w:shd w:val="clear" w:color="70AD47" w:fill="70AD47"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b/>
        <w:color w:val="ffffff" w:themeColor="light1"/>
        <w:sz w:val="22"/>
      </w:rPr>
      <w:tblPr/>
      <w:tcPr>
        <w:tcBorders>
          <w:top w:val="single" w:color="5B9BD5" w:themeColor="accent1" w:sz="32" w:space="0"/>
          <w:bottom w:val="single" w:color="FFFFFF" w:themeColor="light1" w:sz="12" w:space="0"/>
        </w:tcBorders>
        <w:shd w:val="clear" w:color="5B9BD5" w:fill="5B9BD5" w:themeFill="accent1"/>
      </w:tcPr>
    </w:tblStylePr>
    <w:tblStylePr w:type="lastRow">
      <w:rPr>
        <w:b/>
        <w:color w:val="ffffff" w:themeColor="light1"/>
        <w:sz w:val="22"/>
      </w:rPr>
      <w:tblPr/>
    </w:tblStylePr>
    <w:tblStylePr w:type="firstCol">
      <w:rPr>
        <w:b/>
        <w:color w:val="ffffff" w:themeColor="light1"/>
        <w:sz w:val="22"/>
      </w:rPr>
      <w:tblPr/>
      <w:tcPr>
        <w:tcBorders>
          <w:left w:val="single" w:color="5B9BD5" w:themeColor="accent1" w:sz="32" w:space="0"/>
          <w:right w:val="single" w:color="FFFFFF" w:themeColor="light1" w:sz="4" w:space="0"/>
        </w:tcBorders>
      </w:tcPr>
    </w:tblStylePr>
    <w:tblStylePr w:type="lastCol">
      <w:tblPr/>
      <w:tcPr>
        <w:tcBorders>
          <w:left w:val="single" w:color="FFFFFF" w:themeColor="light1" w:sz="4" w:space="0"/>
          <w:right w:val="single" w:color="5B9BD5" w:themeColor="accent1" w:sz="32" w:space="0"/>
        </w:tcBorders>
      </w:tcPr>
    </w:tblStylePr>
    <w:tblStylePr w:type="band1Vert">
      <w:tblPr/>
      <w:tcPr>
        <w:tcBorders>
          <w:left w:val="single" w:color="FFFFFF" w:themeColor="light1" w:sz="4" w:space="0"/>
          <w:right w:val="single" w:color="FFFFFF" w:themeColor="light1" w:sz="4" w:space="0"/>
        </w:tcBorders>
        <w:shd w:val="clear" w:color="5B9BD5" w:fill="5B9BD5"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5B9BD5" w:fill="5B9BD5" w:themeFill="accent1"/>
      </w:tcPr>
    </w:tblStylePr>
    <w:tblStylePr w:type="band2Horz">
      <w:tblPr/>
      <w:tcPr>
        <w:tcBorders>
          <w:top w:val="single" w:color="FFFFFF" w:themeColor="light1" w:sz="4" w:space="0"/>
          <w:bottom w:val="single" w:color="FFFFFF" w:themeColor="light1" w:sz="4" w:space="0"/>
        </w:tcBorders>
        <w:shd w:val="clear" w:color="5B9BD5" w:fill="5B9BD5"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firstRow">
      <w:rPr>
        <w:b/>
        <w:color w:val="ffffff"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F4B184" w:themeColor="accent2" w:sz="32" w:space="0"/>
          <w:right w:val="single" w:color="FFFFFF" w:themeColor="light1" w:sz="4" w:space="0"/>
        </w:tcBorders>
      </w:tcPr>
    </w:tblStylePr>
    <w:tblStylePr w:type="lastCol">
      <w:tblPr/>
      <w:tcPr>
        <w:tcBorders>
          <w:left w:val="single" w:color="FFFFFF" w:themeColor="light1" w:sz="4" w:space="0"/>
          <w:right w:val="single" w:color="F4B184" w:themeColor="accent2" w:sz="32" w:space="0"/>
        </w:tcBorders>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b/>
        <w:color w:val="ffffff"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C9C9C9" w:themeColor="accent3" w:sz="32" w:space="0"/>
          <w:right w:val="single" w:color="FFFFFF" w:themeColor="light1" w:sz="4" w:space="0"/>
        </w:tcBorders>
      </w:tcPr>
    </w:tblStylePr>
    <w:tblStylePr w:type="lastCol">
      <w:tblPr/>
      <w:tcPr>
        <w:tcBorders>
          <w:left w:val="single" w:color="FFFFFF" w:themeColor="light1" w:sz="4" w:space="0"/>
          <w:right w:val="single" w:color="C9C9C9" w:themeColor="accent3" w:sz="32" w:space="0"/>
        </w:tcBorders>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firstRow">
      <w:rPr>
        <w:b/>
        <w:color w:val="ffffff"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FFD865" w:themeColor="accent4" w:sz="32" w:space="0"/>
          <w:right w:val="single" w:color="FFFFFF" w:themeColor="light1" w:sz="4" w:space="0"/>
        </w:tcBorders>
      </w:tcPr>
    </w:tblStylePr>
    <w:tblStylePr w:type="lastCol">
      <w:tblPr/>
      <w:tcPr>
        <w:tcBorders>
          <w:left w:val="single" w:color="FFFFFF" w:themeColor="light1" w:sz="4" w:space="0"/>
          <w:right w:val="single" w:color="FFD865" w:themeColor="accent4" w:sz="32" w:space="0"/>
        </w:tcBorders>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tblStylePr w:type="firstRow">
      <w:rPr>
        <w:b/>
        <w:color w:val="ffffff" w:themeColor="light1"/>
        <w:sz w:val="22"/>
      </w:rPr>
      <w:tblPr/>
      <w:tcPr>
        <w:tcBorders>
          <w:top w:val="single" w:color="8DA9DB" w:themeColor="accent5" w:sz="32" w:space="0"/>
          <w:bottom w:val="single" w:color="FFFFFF" w:themeColor="light1" w:sz="12" w:space="0"/>
        </w:tcBorders>
        <w:shd w:val="clear" w:color="8DA9DB" w:fill="8DA9DB"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8DA9DB" w:themeColor="accent5" w:sz="32" w:space="0"/>
          <w:right w:val="single" w:color="FFFFFF" w:themeColor="light1" w:sz="4" w:space="0"/>
        </w:tcBorders>
      </w:tcPr>
    </w:tblStylePr>
    <w:tblStylePr w:type="lastCol">
      <w:tblPr/>
      <w:tcPr>
        <w:tcBorders>
          <w:left w:val="single" w:color="FFFFFF" w:themeColor="light1" w:sz="4" w:space="0"/>
          <w:right w:val="single" w:color="8DA9DB" w:themeColor="accent5" w:sz="32" w:space="0"/>
        </w:tcBorders>
      </w:tcPr>
    </w:tblStylePr>
    <w:tblStylePr w:type="band1Vert">
      <w:tblPr/>
      <w:tcPr>
        <w:tcBorders>
          <w:left w:val="single" w:color="FFFFFF" w:themeColor="light1" w:sz="4" w:space="0"/>
          <w:right w:val="single" w:color="FFFFFF" w:themeColor="light1" w:sz="4" w:space="0"/>
        </w:tcBorders>
        <w:shd w:val="clear" w:color="8DA9DB" w:fill="8DA9DB"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8DA9DB" w:fill="8DA9DB" w:themeFill="accent5" w:themeFillTint="9a"/>
      </w:tcPr>
    </w:tblStylePr>
    <w:tblStylePr w:type="band2Horz">
      <w:tblPr/>
      <w:tcPr>
        <w:tcBorders>
          <w:top w:val="single" w:color="FFFFFF" w:themeColor="light1" w:sz="4" w:space="0"/>
          <w:bottom w:val="single" w:color="FFFFFF" w:themeColor="light1" w:sz="4" w:space="0"/>
        </w:tcBorders>
        <w:shd w:val="clear" w:color="8DA9DB" w:fill="8DA9DB"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b/>
        <w:color w:val="ffffff"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A9D08E" w:themeColor="accent6" w:sz="32" w:space="0"/>
          <w:right w:val="single" w:color="FFFFFF" w:themeColor="light1" w:sz="4" w:space="0"/>
        </w:tcBorders>
      </w:tcPr>
    </w:tblStylePr>
    <w:tblStylePr w:type="lastCol">
      <w:tblPr/>
      <w:tcPr>
        <w:tcBorders>
          <w:left w:val="single" w:color="FFFFFF" w:themeColor="light1" w:sz="4" w:space="0"/>
          <w:right w:val="single" w:color="A9D08E" w:themeColor="accent6" w:sz="32" w:space="0"/>
        </w:tcBorders>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sz="4" w:space="0"/>
        </w:tcBorders>
      </w:tcPr>
    </w:tblStylePr>
    <w:tblStylePr w:type="lastRow">
      <w:rPr>
        <w:b/>
        <w:color w:val="000000" w:themeColor="text1"/>
      </w:rPr>
      <w:tblPr/>
      <w:tcPr>
        <w:tcBorders>
          <w:top w:val="single" w:color="7F7F7F"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NormaleTabelle"/>
    <w:uiPriority w:val="99"/>
    <w:tblPr>
      <w:tblStyleRowBandSize w:val="1"/>
      <w:tblStyleColBandSize w:val="1"/>
      <w:tblBorders>
        <w:top w:val="single" w:color="5B9BD5" w:themeColor="accent1" w:sz="4" w:space="0"/>
        <w:bottom w:val="single" w:color="5B9BD5" w:themeColor="accent1" w:sz="4" w:space="0"/>
      </w:tblBorders>
    </w:tblPr>
    <w:tblStylePr w:type="firstRow">
      <w:rPr>
        <w:b/>
        <w:color w:val="245a8d" w:themeColor="accent1" w:themeShade="95"/>
      </w:rPr>
      <w:tblPr/>
      <w:tcPr>
        <w:tcBorders>
          <w:bottom w:val="single" w:color="5B9BD5" w:themeColor="accent1" w:sz="4" w:space="0"/>
        </w:tcBorders>
      </w:tcPr>
    </w:tblStylePr>
    <w:tblStylePr w:type="lastRow">
      <w:rPr>
        <w:b/>
        <w:color w:val="245a8d" w:themeColor="accent1" w:themeShade="95"/>
      </w:rPr>
      <w:tblPr/>
      <w:tcPr>
        <w:tcBorders>
          <w:top w:val="single" w:color="5B9BD5" w:themeColor="accent1" w:sz="4" w:space="0"/>
        </w:tcBorders>
      </w:tcPr>
    </w:tblStylePr>
    <w:tblStylePr w:type="firstCol">
      <w:rPr>
        <w:b/>
        <w:color w:val="245a8d" w:themeColor="accent1" w:themeShade="95"/>
      </w:rPr>
      <w:tblPr/>
    </w:tblStylePr>
    <w:tblStylePr w:type="lastCol">
      <w:rPr>
        <w:b/>
        <w:color w:val="245a8d" w:themeColor="accent1" w:themeShade="95"/>
      </w:rPr>
      <w:tbl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Pr/>
    </w:tblStylePr>
  </w:style>
  <w:style w:type="table" w:customStyle="1" w:styleId="ListTable6Colorful-Accent2">
    <w:name w:val="List Table 6 Colorful - Accent 2"/>
    <w:basedOn w:val="NormaleTabelle"/>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blPr/>
      <w:tcPr>
        <w:tcBorders>
          <w:bottom w:val="single" w:color="F4B184" w:themeColor="accent2" w:sz="4" w:space="0"/>
        </w:tcBorders>
      </w:tcPr>
    </w:tblStylePr>
    <w:tblStylePr w:type="lastRow">
      <w:rPr>
        <w:b/>
        <w:color w:val="f4b184" w:themeColor="accent2" w:themeTint="97" w:themeShade="95"/>
      </w:rPr>
      <w:tblPr/>
      <w:tcPr>
        <w:tcBorders>
          <w:top w:val="single" w:color="F4B184" w:themeColor="accent2" w:sz="4" w:space="0"/>
        </w:tcBorders>
      </w:tc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6Colorful-Accent3">
    <w:name w:val="List Table 6 Colorful - Accent 3"/>
    <w:basedOn w:val="NormaleTabelle"/>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blPr/>
      <w:tcPr>
        <w:tcBorders>
          <w:bottom w:val="single" w:color="C9C9C9" w:themeColor="accent3" w:sz="4" w:space="0"/>
        </w:tcBorders>
      </w:tcPr>
    </w:tblStylePr>
    <w:tblStylePr w:type="lastRow">
      <w:rPr>
        <w:b/>
        <w:color w:val="c9c9c9" w:themeColor="accent3" w:themeTint="98" w:themeShade="95"/>
      </w:rPr>
      <w:tblPr/>
      <w:tcPr>
        <w:tcBorders>
          <w:top w:val="single" w:color="C9C9C9" w:themeColor="accent3" w:sz="4" w:space="0"/>
        </w:tcBorders>
      </w:tcPr>
    </w:tblStylePr>
    <w:tblStylePr w:type="firstCol">
      <w:rPr>
        <w:b/>
        <w:color w:val="c9c9c9" w:themeColor="accent3" w:themeTint="98" w:themeShade="95"/>
      </w:rPr>
      <w:tblPr/>
    </w:tblStylePr>
    <w:tblStylePr w:type="lastCol">
      <w:rPr>
        <w:b/>
        <w:color w:val="c9c9c9" w:themeColor="accent3" w:themeTint="98" w:themeShade="95"/>
      </w:rPr>
      <w:tbl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6Colorful-Accent4">
    <w:name w:val="List Table 6 Colorful - Accent 4"/>
    <w:basedOn w:val="NormaleTabelle"/>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blPr/>
      <w:tcPr>
        <w:tcBorders>
          <w:bottom w:val="single" w:color="FFD865" w:themeColor="accent4" w:sz="4" w:space="0"/>
        </w:tcBorders>
      </w:tcPr>
    </w:tblStylePr>
    <w:tblStylePr w:type="lastRow">
      <w:rPr>
        <w:b/>
        <w:color w:val="ffd865" w:themeColor="accent4" w:themeTint="9a" w:themeShade="95"/>
      </w:rPr>
      <w:tblPr/>
      <w:tcPr>
        <w:tcBorders>
          <w:top w:val="single" w:color="FFD865" w:themeColor="accent4" w:sz="4" w:space="0"/>
        </w:tcBorders>
      </w:tc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6Colorful-Accent5">
    <w:name w:val="List Table 6 Colorful - Accent 5"/>
    <w:basedOn w:val="NormaleTabelle"/>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firstRow">
      <w:rPr>
        <w:b/>
        <w:color w:val="8da9db" w:themeColor="accent5" w:themeTint="9a" w:themeShade="95"/>
      </w:rPr>
      <w:tblPr/>
      <w:tcPr>
        <w:tcBorders>
          <w:bottom w:val="single" w:color="8DA9DB" w:themeColor="accent5" w:sz="4" w:space="0"/>
        </w:tcBorders>
      </w:tcPr>
    </w:tblStylePr>
    <w:tblStylePr w:type="lastRow">
      <w:rPr>
        <w:b/>
        <w:color w:val="8da9db" w:themeColor="accent5" w:themeTint="9a" w:themeShade="95"/>
      </w:rPr>
      <w:tblPr/>
      <w:tcPr>
        <w:tcBorders>
          <w:top w:val="single" w:color="8DA9DB" w:themeColor="accent5" w:sz="4" w:space="0"/>
        </w:tcBorders>
      </w:tcPr>
    </w:tblStylePr>
    <w:tblStylePr w:type="firstCol">
      <w:rPr>
        <w:b/>
        <w:color w:val="8da9db" w:themeColor="accent5" w:themeTint="9a" w:themeShade="95"/>
      </w:rPr>
      <w:tblPr/>
    </w:tblStylePr>
    <w:tblStylePr w:type="lastCol">
      <w:rPr>
        <w:b/>
        <w:color w:val="8da9db" w:themeColor="accent5" w:themeTint="9a" w:themeShade="95"/>
      </w:rPr>
      <w:tbl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Pr/>
    </w:tblStylePr>
  </w:style>
  <w:style w:type="table" w:customStyle="1" w:styleId="ListTable6Colorful-Accent6">
    <w:name w:val="List Table 6 Colorful - Accent 6"/>
    <w:basedOn w:val="NormaleTabelle"/>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blPr/>
      <w:tcPr>
        <w:tcBorders>
          <w:bottom w:val="single" w:color="A9D08E" w:themeColor="accent6" w:sz="4" w:space="0"/>
        </w:tcBorders>
      </w:tcPr>
    </w:tblStylePr>
    <w:tblStylePr w:type="lastRow">
      <w:rPr>
        <w:b/>
        <w:color w:val="a9d08e" w:themeColor="accent6" w:themeTint="98" w:themeShade="95"/>
      </w:rPr>
      <w:tblPr/>
      <w:tcPr>
        <w:tcBorders>
          <w:top w:val="single" w:color="A9D08E" w:themeColor="accent6" w:sz="4" w:space="0"/>
        </w:tcBorders>
      </w:tcPr>
    </w:tblStylePr>
    <w:tblStylePr w:type="firstCol">
      <w:rPr>
        <w:b/>
        <w:color w:val="a9d08e" w:themeColor="accent6" w:themeTint="98" w:themeShade="95"/>
      </w:rPr>
      <w:tblPr/>
    </w:tblStylePr>
    <w:tblStylePr w:type="lastCol">
      <w:rPr>
        <w:b/>
        <w:color w:val="a9d08e" w:themeColor="accent6" w:themeTint="98" w:themeShade="95"/>
      </w:rPr>
      <w:tbl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styleId="Listentabelle7farbig">
    <w:name w:val="List Table 7 Colorful"/>
    <w:basedOn w:val="NormaleTabelle"/>
    <w:uiPriority w:val="99"/>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val="7f7f7f"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
    <w:name w:val="List Table 7 Colorful - Accent 1"/>
    <w:basedOn w:val="NormaleTabelle"/>
    <w:uiPriority w:val="99"/>
    <w:tblPr>
      <w:tblStyleRowBandSize w:val="1"/>
      <w:tblStyleColBandSize w:val="1"/>
      <w:tblBorders>
        <w:right w:val="single" w:color="5B9BD5" w:themeColor="accent1" w:sz="4" w:space="0"/>
      </w:tblBorders>
    </w:tblPr>
    <w:tblStylePr w:type="firstRow">
      <w:rPr>
        <w:i/>
        <w:color w:val="245a8d" w:themeColor="accent1" w:themeShade="95"/>
        <w:sz w:val="22"/>
      </w:rPr>
      <w:tblPr/>
      <w:tcPr>
        <w:tcBorders>
          <w:top w:val="none" w:color="000000" w:sz="4" w:space="0"/>
          <w:left w:val="none" w:color="000000" w:sz="4" w:space="0"/>
          <w:bottom w:val="single" w:color="5B9BD5" w:themeColor="accent1" w:sz="4" w:space="0"/>
          <w:right w:val="none" w:color="000000" w:sz="4" w:space="0"/>
        </w:tcBorders>
        <w:shd w:val="clear" w:color="FFFFFF" w:fill="FFFFFF" w:themeFill="light1"/>
      </w:tcPr>
    </w:tblStylePr>
    <w:tblStylePr w:type="lastRow">
      <w:rPr>
        <w:i/>
        <w:color w:val="245a8d" w:themeColor="accent1" w:themeShade="95"/>
        <w:sz w:val="22"/>
      </w:rPr>
      <w:tblPr/>
      <w:tcPr>
        <w:tcBorders>
          <w:top w:val="single" w:color="5B9BD5"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245a8d" w:themeColor="accent1" w:themeShade="95"/>
        <w:sz w:val="22"/>
      </w:rPr>
      <w:tblPr/>
      <w:tcPr>
        <w:tcBorders>
          <w:top w:val="none" w:color="000000" w:sz="4" w:space="0"/>
          <w:left w:val="none" w:color="000000" w:sz="4" w:space="0"/>
          <w:bottom w:val="none" w:color="000000" w:sz="4" w:space="0"/>
          <w:right w:val="single" w:color="5B9BD5" w:themeColor="accent1" w:sz="4" w:space="0"/>
        </w:tcBorders>
        <w:shd w:val="clear" w:color="FFFFFF" w:fill="auto"/>
      </w:tcPr>
    </w:tblStylePr>
    <w:tblStylePr w:type="lastCol">
      <w:rPr>
        <w:i/>
        <w:color w:val="245a8d" w:themeColor="accent1" w:themeShade="95"/>
        <w:sz w:val="22"/>
      </w:rPr>
      <w:tblPr/>
      <w:tcPr>
        <w:tcBorders>
          <w:top w:val="none" w:color="000000" w:sz="4" w:space="0"/>
          <w:left w:val="single" w:color="5B9BD5" w:themeColor="accent1" w:sz="4" w:space="0"/>
          <w:bottom w:val="none" w:color="000000" w:sz="4" w:space="0"/>
          <w:right w:val="none" w:color="000000" w:sz="4" w:space="0"/>
        </w:tcBorders>
        <w:shd w:val="clear" w:color="FFFFFF" w:fill="auto"/>
      </w:tc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Pr/>
    </w:tblStylePr>
  </w:style>
  <w:style w:type="table" w:customStyle="1" w:styleId="ListTable7Colorful-Accent2">
    <w:name w:val="List Table 7 Colorful - Accent 2"/>
    <w:basedOn w:val="NormaleTabelle"/>
    <w:uiPriority w:val="99"/>
    <w:tblPr>
      <w:tblStyleRowBandSize w:val="1"/>
      <w:tblStyleColBandSize w:val="1"/>
      <w:tblBorders>
        <w:right w:val="single" w:color="F4B184" w:themeColor="accent2" w:themeTint="97" w:sz="4" w:space="0"/>
      </w:tblBorders>
    </w:tblPr>
    <w:tblStylePr w:type="firstRow">
      <w:rPr>
        <w:i/>
        <w:color w:val="f4b184"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Row">
      <w:rPr>
        <w:i/>
        <w:color w:val="f4b184"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f4b184"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7Colorful-Accent3">
    <w:name w:val="List Table 7 Colorful - Accent 3"/>
    <w:basedOn w:val="NormaleTabelle"/>
    <w:uiPriority w:val="99"/>
    <w:tblPr>
      <w:tblStyleRowBandSize w:val="1"/>
      <w:tblStyleColBandSize w:val="1"/>
      <w:tblBorders>
        <w:right w:val="single" w:color="C9C9C9" w:themeColor="accent3" w:themeTint="98" w:sz="4" w:space="0"/>
      </w:tblBorders>
    </w:tblPr>
    <w:tblStylePr w:type="firstRow">
      <w:rPr>
        <w:i/>
        <w:color w:val="c9c9c9" w:themeColor="accent3" w:themeTint="98" w:themeShade="95"/>
        <w:sz w:val="22"/>
      </w:rPr>
      <w:tblPr/>
      <w:tcPr>
        <w:tcBorders>
          <w:top w:val="none" w:color="000000" w:sz="4" w:space="0"/>
          <w:left w:val="none" w:color="000000" w:sz="4" w:space="0"/>
          <w:bottom w:val="single" w:color="C9C9C9" w:themeColor="accent3" w:sz="4" w:space="0"/>
          <w:right w:val="none" w:color="000000" w:sz="4" w:space="0"/>
        </w:tcBorders>
        <w:shd w:val="clear" w:color="FFFFFF" w:fill="FFFFFF" w:themeFill="light1"/>
      </w:tcPr>
    </w:tblStylePr>
    <w:tblStylePr w:type="lastRow">
      <w:rPr>
        <w:i/>
        <w:color w:val="c9c9c9" w:themeColor="accent3" w:themeTint="98" w:themeShade="95"/>
        <w:sz w:val="22"/>
      </w:rPr>
      <w:tblPr/>
      <w:tcPr>
        <w:tcBorders>
          <w:top w:val="single" w:color="C9C9C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c9c9c9" w:themeColor="accent3" w:themeTint="98" w:themeShade="95"/>
        <w:sz w:val="22"/>
      </w:rPr>
      <w:tblPr/>
      <w:tcPr>
        <w:tcBorders>
          <w:top w:val="none" w:color="000000" w:sz="4" w:space="0"/>
          <w:left w:val="none" w:color="000000" w:sz="4" w:space="0"/>
          <w:bottom w:val="none" w:color="000000" w:sz="4" w:space="0"/>
          <w:right w:val="single" w:color="C9C9C9" w:themeColor="accent3" w:sz="4" w:space="0"/>
        </w:tcBorders>
        <w:shd w:val="clear" w:color="FFFFFF" w:fill="auto"/>
      </w:tcPr>
    </w:tblStylePr>
    <w:tblStylePr w:type="lastCol">
      <w:rPr>
        <w:i/>
        <w:color w:val="c9c9c9" w:themeColor="accent3" w:themeTint="98" w:themeShade="95"/>
        <w:sz w:val="22"/>
      </w:rPr>
      <w:tblPr/>
      <w:tcPr>
        <w:tcBorders>
          <w:top w:val="none" w:color="000000" w:sz="4" w:space="0"/>
          <w:left w:val="single" w:color="C9C9C9" w:themeColor="accent3" w:sz="4" w:space="0"/>
          <w:bottom w:val="none" w:color="000000" w:sz="4" w:space="0"/>
          <w:right w:val="none" w:color="000000" w:sz="4" w:space="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7Colorful-Accent4">
    <w:name w:val="List Table 7 Colorful - Accent 4"/>
    <w:basedOn w:val="NormaleTabelle"/>
    <w:uiPriority w:val="99"/>
    <w:tblPr>
      <w:tblStyleRowBandSize w:val="1"/>
      <w:tblStyleColBandSize w:val="1"/>
      <w:tblBorders>
        <w:right w:val="single" w:color="FFD865" w:themeColor="accent4" w:themeTint="9a" w:sz="4" w:space="0"/>
      </w:tblBorders>
    </w:tblPr>
    <w:tblStylePr w:type="firstRow">
      <w:rPr>
        <w:i/>
        <w:color w:val="ffd865"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Row">
      <w:rPr>
        <w:i/>
        <w:color w:val="ffd865"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ffd865"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7Colorful-Accent5">
    <w:name w:val="List Table 7 Colorful - Accent 5"/>
    <w:basedOn w:val="NormaleTabelle"/>
    <w:uiPriority w:val="99"/>
    <w:tblPr>
      <w:tblStyleRowBandSize w:val="1"/>
      <w:tblStyleColBandSize w:val="1"/>
      <w:tblBorders>
        <w:right w:val="single" w:color="8DA9DB" w:themeColor="accent5" w:themeTint="9a" w:sz="4" w:space="0"/>
      </w:tblBorders>
    </w:tblPr>
    <w:tblStylePr w:type="firstRow">
      <w:rPr>
        <w:i/>
        <w:color w:val="8da9db" w:themeColor="accent5" w:themeTint="9a" w:themeShade="95"/>
        <w:sz w:val="22"/>
      </w:rPr>
      <w:tblPr/>
      <w:tcPr>
        <w:tcBorders>
          <w:top w:val="none" w:color="000000" w:sz="4" w:space="0"/>
          <w:left w:val="none" w:color="000000" w:sz="4" w:space="0"/>
          <w:bottom w:val="single" w:color="8DA9DB" w:themeColor="accent5" w:sz="4" w:space="0"/>
          <w:right w:val="none" w:color="000000" w:sz="4" w:space="0"/>
        </w:tcBorders>
        <w:shd w:val="clear" w:color="FFFFFF" w:fill="FFFFFF" w:themeFill="light1"/>
      </w:tcPr>
    </w:tblStylePr>
    <w:tblStylePr w:type="lastRow">
      <w:rPr>
        <w:i/>
        <w:color w:val="8da9db" w:themeColor="accent5" w:themeTint="9a" w:themeShade="95"/>
        <w:sz w:val="22"/>
      </w:rPr>
      <w:tblPr/>
      <w:tcPr>
        <w:tcBorders>
          <w:top w:val="single" w:color="8DA9DB"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8da9db" w:themeColor="accent5" w:themeTint="9a" w:themeShade="95"/>
        <w:sz w:val="22"/>
      </w:rPr>
      <w:tblPr/>
      <w:tcPr>
        <w:tcBorders>
          <w:top w:val="none" w:color="000000" w:sz="4" w:space="0"/>
          <w:left w:val="none" w:color="000000" w:sz="4" w:space="0"/>
          <w:bottom w:val="none" w:color="000000" w:sz="4" w:space="0"/>
          <w:right w:val="single" w:color="8DA9DB" w:themeColor="accent5" w:sz="4" w:space="0"/>
        </w:tcBorders>
        <w:shd w:val="clear" w:color="FFFFFF" w:fill="auto"/>
      </w:tcPr>
    </w:tblStylePr>
    <w:tblStylePr w:type="lastCol">
      <w:rPr>
        <w:i/>
        <w:color w:val="8da9db" w:themeColor="accent5" w:themeTint="9a" w:themeShade="95"/>
        <w:sz w:val="22"/>
      </w:rPr>
      <w:tblPr/>
      <w:tcPr>
        <w:tcBorders>
          <w:top w:val="none" w:color="000000" w:sz="4" w:space="0"/>
          <w:left w:val="single" w:color="8DA9DB" w:themeColor="accent5" w:sz="4" w:space="0"/>
          <w:bottom w:val="none" w:color="000000" w:sz="4" w:space="0"/>
          <w:right w:val="none" w:color="000000" w:sz="4" w:space="0"/>
        </w:tcBorders>
        <w:shd w:val="clear" w:color="FFFFFF" w:fill="auto"/>
      </w:tc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Pr/>
    </w:tblStylePr>
  </w:style>
  <w:style w:type="table" w:customStyle="1" w:styleId="ListTable7Colorful-Accent6">
    <w:name w:val="List Table 7 Colorful - Accent 6"/>
    <w:basedOn w:val="NormaleTabelle"/>
    <w:uiPriority w:val="99"/>
    <w:tblPr>
      <w:tblStyleRowBandSize w:val="1"/>
      <w:tblStyleColBandSize w:val="1"/>
      <w:tblBorders>
        <w:right w:val="single" w:color="A9D08E" w:themeColor="accent6" w:themeTint="98" w:sz="4" w:space="0"/>
      </w:tblBorders>
    </w:tblPr>
    <w:tblStylePr w:type="firstRow">
      <w:rPr>
        <w:i/>
        <w:color w:val="a9d08e" w:themeColor="accent6" w:themeTint="98" w:themeShade="95"/>
        <w:sz w:val="22"/>
      </w:rPr>
      <w:tblPr/>
      <w:tcPr>
        <w:tcBorders>
          <w:top w:val="none" w:color="000000" w:sz="4" w:space="0"/>
          <w:left w:val="none" w:color="000000" w:sz="4" w:space="0"/>
          <w:bottom w:val="single" w:color="A9D08E" w:themeColor="accent6" w:sz="4" w:space="0"/>
          <w:right w:val="none" w:color="000000" w:sz="4" w:space="0"/>
        </w:tcBorders>
        <w:shd w:val="clear" w:color="FFFFFF" w:fill="FFFFFF" w:themeFill="light1"/>
      </w:tcPr>
    </w:tblStylePr>
    <w:tblStylePr w:type="lastRow">
      <w:rPr>
        <w:i/>
        <w:color w:val="a9d08e" w:themeColor="accent6" w:themeTint="98" w:themeShade="95"/>
        <w:sz w:val="22"/>
      </w:rPr>
      <w:tblPr/>
      <w:tcPr>
        <w:tcBorders>
          <w:top w:val="single" w:color="A9D08E"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a9d08e" w:themeColor="accent6" w:themeTint="98" w:themeShade="95"/>
        <w:sz w:val="22"/>
      </w:rPr>
      <w:tblPr/>
      <w:tcPr>
        <w:tcBorders>
          <w:top w:val="none" w:color="000000" w:sz="4" w:space="0"/>
          <w:left w:val="none" w:color="000000" w:sz="4" w:space="0"/>
          <w:bottom w:val="none" w:color="000000" w:sz="4" w:space="0"/>
          <w:right w:val="single" w:color="A9D08E" w:themeColor="accent6" w:sz="4" w:space="0"/>
        </w:tcBorders>
        <w:shd w:val="clear" w:color="FFFFFF" w:fill="auto"/>
      </w:tcPr>
    </w:tblStylePr>
    <w:tblStylePr w:type="lastCol">
      <w:rPr>
        <w:i/>
        <w:color w:val="a9d08e" w:themeColor="accent6" w:themeTint="98" w:themeShade="95"/>
        <w:sz w:val="22"/>
      </w:rPr>
      <w:tblPr/>
      <w:tcPr>
        <w:tcBorders>
          <w:top w:val="none" w:color="000000" w:sz="4" w:space="0"/>
          <w:left w:val="single" w:color="A9D08E" w:themeColor="accent6" w:sz="4" w:space="0"/>
          <w:bottom w:val="none" w:color="000000" w:sz="4" w:space="0"/>
          <w:right w:val="none" w:color="000000" w:sz="4" w:space="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Lined-Accent">
    <w:name w:val="Lined - Accent"/>
    <w:basedOn w:val="NormaleTabelle"/>
    <w:uiPriority w:val="99"/>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NormaleTabelle"/>
    <w:uiPriority w:val="99"/>
    <w:rPr/>
    <w:tblPr>
      <w:tblStyleRowBandSize w:val="1"/>
      <w:tblStyleColBandSize w:val="1"/>
    </w:tblPr>
    <w:tblStylePr w:type="firstRow">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tblStylePr w:type="firstCol">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band1Vert">
      <w:rPr>
        <w:sz w:val="22"/>
      </w:rPr>
      <w:tblPr/>
    </w:tblStylePr>
    <w:tblStylePr w:type="band2Vert">
      <w:rPr>
        <w:sz w:val="22"/>
      </w:rPr>
      <w:tblPr/>
      <w:tcPr>
        <w:shd w:val="clear" w:color="CBDFF1" w:fill="CBDFF1" w:themeFill="accent1" w:themeFillTint="50"/>
      </w:tcPr>
    </w:tblStylePr>
    <w:tblStylePr w:type="band1Horz">
      <w:rPr>
        <w:sz w:val="22"/>
      </w:rPr>
      <w:tblPr/>
    </w:tblStylePr>
    <w:tblStylePr w:type="band2Horz">
      <w:rPr>
        <w:sz w:val="22"/>
      </w:rPr>
      <w:tblPr/>
      <w:tcPr>
        <w:shd w:val="clear" w:color="CBDFF1" w:fill="CBDFF1" w:themeFill="accent1" w:themeFillTint="50"/>
      </w:tcPr>
    </w:tblStylePr>
  </w:style>
  <w:style w:type="table" w:customStyle="1" w:styleId="Lined-Accent2">
    <w:name w:val="Lined - Accent 2"/>
    <w:basedOn w:val="NormaleTabelle"/>
    <w:uiPriority w:val="99"/>
    <w:rPr/>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Lined-Accent3">
    <w:name w:val="Lined - Accent 3"/>
    <w:basedOn w:val="NormaleTabelle"/>
    <w:uiPriority w:val="99"/>
    <w:rPr/>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Lined-Accent4">
    <w:name w:val="Lined - Accent 4"/>
    <w:basedOn w:val="NormaleTabelle"/>
    <w:uiPriority w:val="99"/>
    <w:rPr/>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Lined-Accent5">
    <w:name w:val="Lined - Accent 5"/>
    <w:basedOn w:val="NormaleTabelle"/>
    <w:uiPriority w:val="99"/>
    <w:rPr/>
    <w:tblPr>
      <w:tblStyleRowBandSize w:val="1"/>
      <w:tblStyleColBandSize w:val="1"/>
    </w:tblPr>
    <w:tblStylePr w:type="firstRow">
      <w:rPr>
        <w:sz w:val="22"/>
      </w:rPr>
      <w:tblPr/>
      <w:tcPr>
        <w:shd w:val="clear" w:color="4472C4" w:fill="4472C4" w:themeFill="accent5"/>
      </w:tcPr>
    </w:tblStylePr>
    <w:tblStylePr w:type="lastRow">
      <w:rPr>
        <w:sz w:val="22"/>
      </w:rPr>
      <w:tblPr/>
      <w:tcPr>
        <w:shd w:val="clear" w:color="4472C4" w:fill="4472C4" w:themeFill="accent5"/>
      </w:tcPr>
    </w:tblStylePr>
    <w:tblStylePr w:type="firstCol">
      <w:rPr>
        <w:sz w:val="22"/>
      </w:rPr>
      <w:tblPr/>
      <w:tcPr>
        <w:shd w:val="clear" w:color="4472C4" w:fill="4472C4" w:themeFill="accent5"/>
      </w:tcPr>
    </w:tblStylePr>
    <w:tblStylePr w:type="lastCol">
      <w:rPr>
        <w:sz w:val="22"/>
      </w:rPr>
      <w:tblPr/>
      <w:tcPr>
        <w:shd w:val="clear" w:color="4472C4" w:fill="4472C4" w:themeFill="accent5"/>
      </w:tcPr>
    </w:tblStylePr>
    <w:tblStylePr w:type="band1Vert">
      <w:rPr>
        <w:sz w:val="22"/>
      </w:rPr>
      <w:tblPr/>
    </w:tblStylePr>
    <w:tblStylePr w:type="band2Vert">
      <w:rPr>
        <w:sz w:val="22"/>
      </w:rPr>
      <w:tblPr/>
      <w:tcPr>
        <w:shd w:val="clear" w:color="D8E2F3" w:fill="D8E2F3" w:themeFill="accent5" w:themeFillTint="34"/>
      </w:tcPr>
    </w:tblStylePr>
    <w:tblStylePr w:type="band1Horz">
      <w:rPr>
        <w:sz w:val="22"/>
      </w:rPr>
      <w:tblPr/>
    </w:tblStylePr>
    <w:tblStylePr w:type="band2Horz">
      <w:rPr>
        <w:sz w:val="22"/>
      </w:rPr>
      <w:tblPr/>
      <w:tcPr>
        <w:shd w:val="clear" w:color="D8E2F3" w:fill="D8E2F3" w:themeFill="accent5" w:themeFillTint="34"/>
      </w:tcPr>
    </w:tblStylePr>
  </w:style>
  <w:style w:type="table" w:customStyle="1" w:styleId="Lined-Accent6">
    <w:name w:val="Lined - Accent 6"/>
    <w:basedOn w:val="NormaleTabelle"/>
    <w:uiPriority w:val="99"/>
    <w:rPr/>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NormaleTabelle"/>
    <w:uiPriority w:val="99"/>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NormaleTabelle"/>
    <w:uiPriority w:val="99"/>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firstRow">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tblStylePr w:type="firstCol">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band1Vert">
      <w:rPr>
        <w:sz w:val="22"/>
      </w:rPr>
      <w:tblPr/>
    </w:tblStylePr>
    <w:tblStylePr w:type="band2Vert">
      <w:rPr>
        <w:sz w:val="22"/>
      </w:rPr>
      <w:tblPr/>
      <w:tcPr>
        <w:shd w:val="clear" w:color="CBDFF1" w:fill="CBDFF1" w:themeFill="accent1" w:themeFillTint="50"/>
      </w:tcPr>
    </w:tblStylePr>
    <w:tblStylePr w:type="band1Horz">
      <w:rPr>
        <w:sz w:val="22"/>
      </w:rPr>
      <w:tblPr/>
    </w:tblStylePr>
    <w:tblStylePr w:type="band2Horz">
      <w:rPr>
        <w:sz w:val="22"/>
      </w:rPr>
      <w:tblPr/>
      <w:tcPr>
        <w:shd w:val="clear" w:color="CBDFF1" w:fill="CBDFF1" w:themeFill="accent1" w:themeFillTint="50"/>
      </w:tcPr>
    </w:tblStylePr>
  </w:style>
  <w:style w:type="table" w:customStyle="1" w:styleId="BorderedLined-Accent2">
    <w:name w:val="Bordered &amp; Lined - Accent 2"/>
    <w:basedOn w:val="NormaleTabelle"/>
    <w:uiPriority w:val="99"/>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NormaleTabelle"/>
    <w:uiPriority w:val="99"/>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NormaleTabelle"/>
    <w:uiPriority w:val="99"/>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NormaleTabelle"/>
    <w:uiPriority w:val="99"/>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firstRow">
      <w:rPr>
        <w:sz w:val="22"/>
      </w:rPr>
      <w:tblPr/>
      <w:tcPr>
        <w:shd w:val="clear" w:color="4472C4" w:fill="4472C4" w:themeFill="accent5"/>
      </w:tcPr>
    </w:tblStylePr>
    <w:tblStylePr w:type="lastRow">
      <w:rPr>
        <w:sz w:val="22"/>
      </w:rPr>
      <w:tblPr/>
      <w:tcPr>
        <w:shd w:val="clear" w:color="4472C4" w:fill="4472C4" w:themeFill="accent5"/>
      </w:tcPr>
    </w:tblStylePr>
    <w:tblStylePr w:type="firstCol">
      <w:rPr>
        <w:sz w:val="22"/>
      </w:rPr>
      <w:tblPr/>
      <w:tcPr>
        <w:shd w:val="clear" w:color="4472C4" w:fill="4472C4" w:themeFill="accent5"/>
      </w:tcPr>
    </w:tblStylePr>
    <w:tblStylePr w:type="lastCol">
      <w:rPr>
        <w:sz w:val="22"/>
      </w:rPr>
      <w:tblPr/>
      <w:tcPr>
        <w:shd w:val="clear" w:color="4472C4" w:fill="4472C4" w:themeFill="accent5"/>
      </w:tcPr>
    </w:tblStylePr>
    <w:tblStylePr w:type="band1Vert">
      <w:rPr>
        <w:sz w:val="22"/>
      </w:rPr>
      <w:tblPr/>
    </w:tblStylePr>
    <w:tblStylePr w:type="band2Vert">
      <w:rPr>
        <w:sz w:val="22"/>
      </w:rPr>
      <w:tblPr/>
      <w:tcPr>
        <w:shd w:val="clear" w:color="D8E2F3" w:fill="D8E2F3" w:themeFill="accent5" w:themeFillTint="34"/>
      </w:tcPr>
    </w:tblStylePr>
    <w:tblStylePr w:type="band1Horz">
      <w:rPr>
        <w:sz w:val="22"/>
      </w:rPr>
      <w:tblPr/>
    </w:tblStylePr>
    <w:tblStylePr w:type="band2Horz">
      <w:rPr>
        <w:sz w:val="22"/>
      </w:rPr>
      <w:tblPr/>
      <w:tcPr>
        <w:shd w:val="clear" w:color="D8E2F3" w:fill="D8E2F3" w:themeFill="accent5" w:themeFillTint="34"/>
      </w:tcPr>
    </w:tblStylePr>
  </w:style>
  <w:style w:type="table" w:customStyle="1" w:styleId="BorderedLined-Accent6">
    <w:name w:val="Bordered &amp; Lined - Accent 6"/>
    <w:basedOn w:val="NormaleTabelle"/>
    <w:uiPriority w:val="99"/>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
    <w:name w:val="Bordered"/>
    <w:basedOn w:val="NormaleTabelle"/>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NormaleTabelle"/>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sz w:val="22"/>
      </w:rPr>
      <w:tblPr/>
      <w:tcPr>
        <w:tcBorders>
          <w:bottom w:val="single" w:color="5B9BD5" w:themeColor="accent1" w:sz="12" w:space="0"/>
        </w:tcBorders>
      </w:tcPr>
    </w:tblStylePr>
    <w:tblStylePr w:type="lastRow">
      <w:rPr>
        <w:sz w:val="22"/>
      </w:rPr>
      <w:tblPr/>
      <w:tcPr>
        <w:tcBorders>
          <w:top w:val="single" w:color="5B9BD5" w:themeColor="accent1" w:sz="12" w:space="0"/>
        </w:tcBorders>
      </w:tcPr>
    </w:tblStylePr>
    <w:tblStylePr w:type="firstCol">
      <w:rPr>
        <w:sz w:val="22"/>
      </w:rPr>
      <w:tblPr/>
    </w:tblStylePr>
    <w:tblStylePr w:type="lastCol">
      <w:rPr>
        <w:sz w:val="22"/>
      </w:rPr>
      <w:tblPr/>
      <w:tcPr>
        <w:tcBorders>
          <w:left w:val="single" w:color="5B9BD5" w:themeColor="accent1" w:sz="12" w:space="0"/>
        </w:tcBorders>
      </w:tcPr>
    </w:tblStylePr>
    <w:tblStylePr w:type="band1Horz">
      <w:rPr>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Bordered-Accent2">
    <w:name w:val="Bordered - Accent 2"/>
    <w:basedOn w:val="NormaleTabelle"/>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sz w:val="22"/>
      </w:rPr>
      <w:tblPr/>
      <w:tcPr>
        <w:tcBorders>
          <w:bottom w:val="single" w:color="F4B184" w:themeColor="accent2" w:sz="12" w:space="0"/>
        </w:tcBorders>
      </w:tcPr>
    </w:tblStylePr>
    <w:tblStylePr w:type="lastRow">
      <w:rPr>
        <w:sz w:val="22"/>
      </w:rPr>
      <w:tblPr/>
      <w:tcPr>
        <w:tcBorders>
          <w:top w:val="single" w:color="F4B184" w:themeColor="accent2" w:sz="12" w:space="0"/>
        </w:tcBorders>
      </w:tcPr>
    </w:tblStylePr>
    <w:tblStylePr w:type="firstCol">
      <w:rPr>
        <w:sz w:val="22"/>
      </w:rPr>
      <w:tblPr/>
    </w:tblStylePr>
    <w:tblStylePr w:type="lastCol">
      <w:rPr>
        <w:sz w:val="22"/>
      </w:rPr>
      <w:tblPr/>
      <w:tcPr>
        <w:tcBorders>
          <w:left w:val="single" w:color="F4B184" w:themeColor="accent2" w:sz="12" w:space="0"/>
        </w:tcBorders>
      </w:tcPr>
    </w:tblStyle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Bordered-Accent3">
    <w:name w:val="Bordered - Accent 3"/>
    <w:basedOn w:val="NormaleTabelle"/>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sz w:val="22"/>
      </w:rPr>
      <w:tblPr/>
      <w:tcPr>
        <w:tcBorders>
          <w:bottom w:val="single" w:color="C9C9C9" w:themeColor="accent3" w:sz="12" w:space="0"/>
        </w:tcBorders>
      </w:tcPr>
    </w:tblStylePr>
    <w:tblStylePr w:type="lastRow">
      <w:rPr>
        <w:sz w:val="22"/>
      </w:rPr>
      <w:tblPr/>
      <w:tcPr>
        <w:tcBorders>
          <w:top w:val="single" w:color="C9C9C9" w:themeColor="accent3" w:sz="12" w:space="0"/>
        </w:tcBorders>
      </w:tcPr>
    </w:tblStylePr>
    <w:tblStylePr w:type="firstCol">
      <w:rPr>
        <w:sz w:val="22"/>
      </w:rPr>
      <w:tblPr/>
    </w:tblStylePr>
    <w:tblStylePr w:type="lastCol">
      <w:rPr>
        <w:sz w:val="22"/>
      </w:rPr>
      <w:tblPr/>
      <w:tcPr>
        <w:tcBorders>
          <w:left w:val="single" w:color="C9C9C9" w:themeColor="accent3" w:sz="12" w:space="0"/>
        </w:tcBorders>
      </w:tcPr>
    </w:tblStyle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Bordered-Accent4">
    <w:name w:val="Bordered - Accent 4"/>
    <w:basedOn w:val="NormaleTabelle"/>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sz w:val="22"/>
      </w:rPr>
      <w:tblPr/>
      <w:tcPr>
        <w:tcBorders>
          <w:bottom w:val="single" w:color="FFD865" w:themeColor="accent4" w:sz="12" w:space="0"/>
        </w:tcBorders>
      </w:tcPr>
    </w:tblStylePr>
    <w:tblStylePr w:type="lastRow">
      <w:rPr>
        <w:sz w:val="22"/>
      </w:rPr>
      <w:tblPr/>
      <w:tcPr>
        <w:tcBorders>
          <w:top w:val="single" w:color="FFD865" w:themeColor="accent4" w:sz="12" w:space="0"/>
        </w:tcBorders>
      </w:tcPr>
    </w:tblStylePr>
    <w:tblStylePr w:type="firstCol">
      <w:rPr>
        <w:sz w:val="22"/>
      </w:rPr>
      <w:tblPr/>
    </w:tblStylePr>
    <w:tblStylePr w:type="lastCol">
      <w:rPr>
        <w:sz w:val="22"/>
      </w:rPr>
      <w:tblPr/>
      <w:tcPr>
        <w:tcBorders>
          <w:left w:val="single" w:color="FFD865" w:themeColor="accent4" w:sz="12" w:space="0"/>
        </w:tcBorders>
      </w:tcPr>
    </w:tblStyle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Bordered-Accent5">
    <w:name w:val="Bordered - Accent 5"/>
    <w:basedOn w:val="NormaleTabelle"/>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sz w:val="22"/>
      </w:rPr>
      <w:tblPr/>
      <w:tcPr>
        <w:tcBorders>
          <w:bottom w:val="single" w:color="8DA9DB" w:themeColor="accent5" w:sz="12" w:space="0"/>
        </w:tcBorders>
      </w:tcPr>
    </w:tblStylePr>
    <w:tblStylePr w:type="lastRow">
      <w:rPr>
        <w:sz w:val="22"/>
      </w:rPr>
      <w:tblPr/>
      <w:tcPr>
        <w:tcBorders>
          <w:top w:val="single" w:color="8DA9DB" w:themeColor="accent5" w:sz="12" w:space="0"/>
        </w:tcBorders>
      </w:tcPr>
    </w:tblStylePr>
    <w:tblStylePr w:type="firstCol">
      <w:rPr>
        <w:sz w:val="22"/>
      </w:rPr>
      <w:tblPr/>
    </w:tblStylePr>
    <w:tblStylePr w:type="lastCol">
      <w:rPr>
        <w:sz w:val="22"/>
      </w:rPr>
      <w:tblPr/>
      <w:tcPr>
        <w:tcBorders>
          <w:left w:val="single" w:color="8DA9DB" w:themeColor="accent5" w:sz="12" w:space="0"/>
        </w:tcBorders>
      </w:tcPr>
    </w:tblStylePr>
    <w:tblStylePr w:type="band1Horz">
      <w:rPr>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Bordered-Accent6">
    <w:name w:val="Bordered - Accent 6"/>
    <w:basedOn w:val="NormaleTabelle"/>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sz w:val="22"/>
      </w:rPr>
      <w:tblPr/>
      <w:tcPr>
        <w:tcBorders>
          <w:bottom w:val="single" w:color="A9D08E" w:themeColor="accent6" w:sz="12" w:space="0"/>
        </w:tcBorders>
      </w:tcPr>
    </w:tblStylePr>
    <w:tblStylePr w:type="lastRow">
      <w:rPr>
        <w:sz w:val="22"/>
      </w:rPr>
      <w:tblPr/>
      <w:tcPr>
        <w:tcBorders>
          <w:top w:val="single" w:color="A9D08E" w:themeColor="accent6" w:sz="12" w:space="0"/>
        </w:tcBorders>
      </w:tcPr>
    </w:tblStylePr>
    <w:tblStylePr w:type="firstCol">
      <w:rPr>
        <w:sz w:val="22"/>
      </w:rPr>
      <w:tblPr/>
    </w:tblStylePr>
    <w:tblStylePr w:type="lastCol">
      <w:rPr>
        <w:sz w:val="22"/>
      </w:rPr>
      <w:tblPr/>
      <w:tcPr>
        <w:tcBorders>
          <w:left w:val="single" w:color="A9D08E" w:themeColor="accent6" w:sz="12" w:space="0"/>
        </w:tcBorders>
      </w:tcPr>
    </w:tblStyle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customStyle="1" w:styleId="bwTabelle-mit-Rahmen-mit-Einzug">
    <w:name w:val="bw_Tabelle-mit-Rahmen-mit-Einzug"/>
    <w:basedOn w:val="NormaleTabelle"/>
    <w:uiPriority w:val="99"/>
    <w:pPr>
      <w:ind w:right="102"/>
    </w:pPr>
    <w:rPr>
      <w:rFonts w:asciiTheme="minorHAnsi" w:hAnsiTheme="minorHAnsi" w:cstheme="minorBid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6" w:type="dxa"/>
        <w:right w:w="6"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gemeinsamdigital.berlin.de/de/smart-water/prototyp-digitales-planungstool/" TargetMode="External"/><Relationship Id="rId4" Type="http://schemas.openxmlformats.org/officeDocument/2006/relationships/image" Target="media/image2.png"/><Relationship Id="rId5" Type="http://schemas.openxmlformats.org/officeDocument/2006/relationships/hyperlink" Target="http://ww.berlin.de/umweltatlas/_assets/wasser/blau-gruener-infrastrukturplaner/de-texte/bgi-planer_methodiken_2026.pdf" TargetMode="External"/><Relationship Id="rId6" Type="http://schemas.openxmlformats.org/officeDocument/2006/relationships/hyperlink" Target="https://bgi-planer.ts.berlin/" TargetMode="External"/><Relationship Id="rId7" Type="http://schemas.openxmlformats.org/officeDocument/2006/relationships/image" Target="media/image3.png"/><Relationship Id="rId8" Type="http://schemas.openxmlformats.org/officeDocument/2006/relationships/hyperlink" Target="https://bgi-planer.ts.berlin/" TargetMode="External"/><Relationship Id="rId9" Type="http://schemas.openxmlformats.org/officeDocument/2006/relationships/hyperlink" Target="https://www.berlin.de/umweltatlas/" TargetMode="External"/><Relationship Id="rId10" Type="http://schemas.openxmlformats.org/officeDocument/2006/relationships/hyperlink" Target="https://kwb-r.r-universe.dev/kwb.rabimo/doc/manual.html" TargetMode="External"/><Relationship Id="rId11" Type="http://schemas.openxmlformats.org/officeDocument/2006/relationships/hyperlink" Target="https://doi.org/10.3217/zk750-h5420"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_rels/header3.xml.rels><?xml version="1.0" encoding="UTF-8"?>
<Relationships xmlns="http://schemas.openxmlformats.org/package/2006/relationships"><Relationship Id="rId1" Type="http://schemas.openxmlformats.org/officeDocument/2006/relationships/oleObject" Target="embeddings/oleObject1.bin"/><Relationship Id="rId2" Type="http://schemas.openxmlformats.org/officeDocument/2006/relationships/image" Target="media/image4.emf"/>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055EF-CFB0-4D25-AD40-C37B4E200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Application>LibreOffice/26.8.0.3$Windows_X86_64 LibreOffice_project/bce0998afefdbc355585ca324285661a2170ba77</Application>
  <HyperlinkBase>https://www.berlin.de/umweltatlas/wasser/grundwassertemperatur/2024/zusammenfassung/</HyperlinkBase>
  <AppVersion>15.0000</AppVersion>
  <Pages>8</Pages>
  <Words>2946</Words>
  <Characters>21178</Characters>
  <CharactersWithSpaces>23975</CharactersWithSpaces>
  <Paragraphs>129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2026-09-17T09:52:00Z</dcterms:created>
  <dc:creator>Senatsverwaltung für Stadtentwicklung;Bauen und Wohnen;Geodateninfrastruktur - Umweltatlas</dc:creator>
  <dc:description/>
  <dc:language>de-DE</dc:language>
  <cp:lastModifiedBy/>
  <dcterms:modified xsi:type="dcterms:W3CDTF">2026-09-18T09:19:40Z</dcterms:modified>
  <cp:revision>10</cp:revision>
  <dc:subject>Umweltatlas Berlin</dc:subject>
  <dc:title>02.26 Planungstool für Blau-Grüne Infrastruktur (BGI-Planer)</dc:title>
</cp:coreProperties>
</file>

<file path=docProps/custom.xml><?xml version="1.0" encoding="utf-8"?>
<Properties xmlns="http://schemas.openxmlformats.org/officeDocument/2006/custom-properties" xmlns:vt="http://schemas.openxmlformats.org/officeDocument/2006/docPropsVTypes"/>
</file>