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AE" w:rsidRPr="00D45DD3" w:rsidRDefault="00865666" w:rsidP="004B293D">
      <w:pPr>
        <w:pStyle w:val="berschrift1"/>
        <w:pBdr>
          <w:top w:val="single" w:sz="4" w:space="2" w:color="auto"/>
          <w:left w:val="single" w:sz="4" w:space="2" w:color="auto"/>
          <w:bottom w:val="single" w:sz="4" w:space="2" w:color="auto"/>
          <w:right w:val="single" w:sz="4" w:space="2" w:color="auto"/>
        </w:pBdr>
        <w:spacing w:before="0" w:after="120"/>
        <w:jc w:val="left"/>
        <w:rPr>
          <w:rFonts w:cs="Arial"/>
          <w:color w:val="auto"/>
          <w:lang w:val="en-GB"/>
        </w:rPr>
      </w:pPr>
      <w:bookmarkStart w:id="0" w:name="_GoBack"/>
      <w:bookmarkEnd w:id="0"/>
      <w:r w:rsidRPr="00D45DD3">
        <w:rPr>
          <w:rFonts w:cs="Arial"/>
          <w:color w:val="auto"/>
          <w:lang w:val="en-GB"/>
        </w:rPr>
        <w:t xml:space="preserve">06.09 </w:t>
      </w:r>
      <w:r w:rsidR="00025148" w:rsidRPr="00D45DD3">
        <w:rPr>
          <w:rFonts w:cs="Arial"/>
          <w:color w:val="auto"/>
          <w:lang w:val="en-GB"/>
        </w:rPr>
        <w:t xml:space="preserve">Urban </w:t>
      </w:r>
      <w:r w:rsidR="00C13604" w:rsidRPr="00C13604">
        <w:rPr>
          <w:rFonts w:cs="Arial"/>
          <w:color w:val="auto"/>
          <w:lang w:val="en-GB"/>
        </w:rPr>
        <w:t>Structural</w:t>
      </w:r>
      <w:r w:rsidR="00C13604">
        <w:rPr>
          <w:rFonts w:cs="Arial"/>
          <w:b w:val="0"/>
          <w:color w:val="auto"/>
          <w:lang w:val="en-GB"/>
        </w:rPr>
        <w:t xml:space="preserve"> </w:t>
      </w:r>
      <w:r w:rsidR="00025148" w:rsidRPr="00D45DD3">
        <w:rPr>
          <w:rFonts w:cs="Arial"/>
          <w:color w:val="auto"/>
          <w:lang w:val="en-GB"/>
        </w:rPr>
        <w:t>De</w:t>
      </w:r>
      <w:r w:rsidRPr="00D45DD3">
        <w:rPr>
          <w:rFonts w:cs="Arial"/>
          <w:color w:val="auto"/>
          <w:lang w:val="en-GB"/>
        </w:rPr>
        <w:t>nsity</w:t>
      </w:r>
      <w:r w:rsidR="00685968">
        <w:rPr>
          <w:rFonts w:cs="Arial"/>
          <w:color w:val="auto"/>
          <w:lang w:val="en-GB"/>
        </w:rPr>
        <w:br/>
      </w:r>
      <w:r w:rsidRPr="00D45DD3">
        <w:rPr>
          <w:rFonts w:cs="Arial"/>
          <w:color w:val="auto"/>
          <w:lang w:val="en-GB"/>
        </w:rPr>
        <w:t>(20</w:t>
      </w:r>
      <w:r w:rsidR="00887FAF">
        <w:rPr>
          <w:rFonts w:cs="Arial"/>
          <w:color w:val="auto"/>
          <w:lang w:val="en-GB"/>
        </w:rPr>
        <w:t>12</w:t>
      </w:r>
      <w:r w:rsidR="00025148" w:rsidRPr="00D45DD3">
        <w:rPr>
          <w:rFonts w:cs="Arial"/>
          <w:color w:val="auto"/>
          <w:lang w:val="en-GB"/>
        </w:rPr>
        <w:t xml:space="preserve"> Edition</w:t>
      </w:r>
      <w:r w:rsidRPr="00D45DD3">
        <w:rPr>
          <w:rFonts w:cs="Arial"/>
          <w:color w:val="auto"/>
          <w:lang w:val="en-GB"/>
        </w:rPr>
        <w:t>)</w:t>
      </w:r>
    </w:p>
    <w:p w:rsidR="003325AE" w:rsidRPr="00D45DD3" w:rsidRDefault="00025148" w:rsidP="009A5DDA">
      <w:pPr>
        <w:pStyle w:val="berschrift2"/>
        <w:rPr>
          <w:rFonts w:cs="Arial"/>
          <w:lang w:val="en-GB"/>
        </w:rPr>
      </w:pPr>
      <w:r w:rsidRPr="00D45DD3">
        <w:rPr>
          <w:rFonts w:cs="Arial"/>
          <w:lang w:val="en-GB"/>
        </w:rPr>
        <w:t>Overview</w:t>
      </w:r>
    </w:p>
    <w:p w:rsidR="00DC7F03" w:rsidRDefault="00DC7F03" w:rsidP="00D12437">
      <w:pPr>
        <w:jc w:val="left"/>
        <w:rPr>
          <w:rFonts w:cs="Arial"/>
          <w:color w:val="auto"/>
          <w:lang w:val="en-GB"/>
        </w:rPr>
      </w:pPr>
      <w:r w:rsidRPr="000D405A">
        <w:rPr>
          <w:rFonts w:cs="Arial"/>
          <w:color w:val="auto"/>
          <w:lang w:val="en-US"/>
        </w:rPr>
        <w:t>Natural landscape and urban development - both have determined the urban structure of Berlin.</w:t>
      </w:r>
    </w:p>
    <w:p w:rsidR="003325AE" w:rsidRPr="00D45DD3" w:rsidRDefault="004569B0" w:rsidP="00D12437">
      <w:pPr>
        <w:jc w:val="left"/>
        <w:rPr>
          <w:rFonts w:cs="Arial"/>
          <w:color w:val="auto"/>
          <w:lang w:val="en-GB"/>
        </w:rPr>
      </w:pPr>
      <w:r>
        <w:rPr>
          <w:rFonts w:cs="Arial"/>
          <w:color w:val="auto"/>
          <w:lang w:val="en-GB"/>
        </w:rPr>
        <w:t>T</w:t>
      </w:r>
      <w:r w:rsidR="00865666" w:rsidRPr="00D45DD3">
        <w:rPr>
          <w:rFonts w:cs="Arial"/>
          <w:color w:val="auto"/>
          <w:lang w:val="en-GB"/>
        </w:rPr>
        <w:t xml:space="preserve">he </w:t>
      </w:r>
      <w:r w:rsidR="00025148" w:rsidRPr="00D45DD3">
        <w:rPr>
          <w:rFonts w:cs="Arial"/>
          <w:color w:val="auto"/>
          <w:lang w:val="en-GB"/>
        </w:rPr>
        <w:t>maps</w:t>
      </w:r>
      <w:r w:rsidR="00865666" w:rsidRPr="00D45DD3">
        <w:rPr>
          <w:rFonts w:cs="Arial"/>
          <w:color w:val="auto"/>
          <w:lang w:val="en-GB"/>
        </w:rPr>
        <w:t xml:space="preserve"> "</w:t>
      </w:r>
      <w:r>
        <w:rPr>
          <w:rFonts w:cs="Arial"/>
          <w:color w:val="auto"/>
          <w:lang w:val="en-GB"/>
        </w:rPr>
        <w:t>Actual</w:t>
      </w:r>
      <w:r w:rsidR="00865666" w:rsidRPr="00D45DD3">
        <w:rPr>
          <w:rFonts w:cs="Arial"/>
          <w:color w:val="auto"/>
          <w:lang w:val="en-GB"/>
        </w:rPr>
        <w:t xml:space="preserve"> </w:t>
      </w:r>
      <w:r w:rsidRPr="00D45DD3">
        <w:rPr>
          <w:rFonts w:cs="Arial"/>
          <w:color w:val="auto"/>
          <w:lang w:val="en-GB"/>
        </w:rPr>
        <w:t xml:space="preserve">Use </w:t>
      </w:r>
      <w:r w:rsidR="00865666" w:rsidRPr="00D45DD3">
        <w:rPr>
          <w:rFonts w:cs="Arial"/>
          <w:color w:val="auto"/>
          <w:lang w:val="en-GB"/>
        </w:rPr>
        <w:t xml:space="preserve">of </w:t>
      </w:r>
      <w:r w:rsidRPr="00D45DD3">
        <w:rPr>
          <w:rFonts w:cs="Arial"/>
          <w:color w:val="auto"/>
          <w:lang w:val="en-GB"/>
        </w:rPr>
        <w:t xml:space="preserve">Built-Up Areas </w:t>
      </w:r>
      <w:r w:rsidR="00865666" w:rsidRPr="00D45DD3">
        <w:rPr>
          <w:rFonts w:cs="Arial"/>
          <w:color w:val="auto"/>
          <w:lang w:val="en-GB"/>
        </w:rPr>
        <w:t>", "</w:t>
      </w:r>
      <w:r>
        <w:rPr>
          <w:rFonts w:cs="Arial"/>
          <w:color w:val="auto"/>
          <w:lang w:val="en-GB"/>
        </w:rPr>
        <w:t xml:space="preserve">Inventory of </w:t>
      </w:r>
      <w:r w:rsidRPr="00D45DD3">
        <w:rPr>
          <w:rFonts w:cs="Arial"/>
          <w:color w:val="auto"/>
          <w:lang w:val="en-GB"/>
        </w:rPr>
        <w:t xml:space="preserve">Green </w:t>
      </w:r>
      <w:r w:rsidR="00865666" w:rsidRPr="00D45DD3">
        <w:rPr>
          <w:rFonts w:cs="Arial"/>
          <w:color w:val="auto"/>
          <w:lang w:val="en-GB"/>
        </w:rPr>
        <w:t xml:space="preserve">and </w:t>
      </w:r>
      <w:r w:rsidRPr="00D45DD3">
        <w:rPr>
          <w:rFonts w:cs="Arial"/>
          <w:color w:val="auto"/>
          <w:lang w:val="en-GB"/>
        </w:rPr>
        <w:t xml:space="preserve">Open </w:t>
      </w:r>
      <w:r>
        <w:rPr>
          <w:rFonts w:cs="Arial"/>
          <w:color w:val="auto"/>
          <w:lang w:val="en-GB"/>
        </w:rPr>
        <w:t>Spaces</w:t>
      </w:r>
      <w:r w:rsidR="00865666" w:rsidRPr="00D45DD3">
        <w:rPr>
          <w:rFonts w:cs="Arial"/>
          <w:color w:val="auto"/>
          <w:lang w:val="en-GB"/>
        </w:rPr>
        <w:t>" and "</w:t>
      </w:r>
      <w:r>
        <w:rPr>
          <w:rFonts w:cs="Arial"/>
          <w:color w:val="auto"/>
          <w:lang w:val="en-GB"/>
        </w:rPr>
        <w:t>Urban</w:t>
      </w:r>
      <w:r w:rsidR="00865666" w:rsidRPr="00D45DD3">
        <w:rPr>
          <w:rFonts w:cs="Arial"/>
          <w:color w:val="auto"/>
          <w:lang w:val="en-GB"/>
        </w:rPr>
        <w:t xml:space="preserve"> </w:t>
      </w:r>
      <w:r w:rsidRPr="00D45DD3">
        <w:rPr>
          <w:rFonts w:cs="Arial"/>
          <w:color w:val="auto"/>
          <w:lang w:val="en-GB"/>
        </w:rPr>
        <w:t>Structure</w:t>
      </w:r>
      <w:r w:rsidR="00865666" w:rsidRPr="00D45DD3">
        <w:rPr>
          <w:rFonts w:cs="Arial"/>
          <w:color w:val="auto"/>
          <w:lang w:val="en-GB"/>
        </w:rPr>
        <w:t xml:space="preserve">" </w:t>
      </w:r>
      <w:r>
        <w:rPr>
          <w:rFonts w:cs="Arial"/>
          <w:color w:val="auto"/>
          <w:lang w:val="en-GB"/>
        </w:rPr>
        <w:t>describe</w:t>
      </w:r>
      <w:r w:rsidR="00865666" w:rsidRPr="00D45DD3">
        <w:rPr>
          <w:rFonts w:cs="Arial"/>
          <w:color w:val="auto"/>
          <w:lang w:val="en-GB"/>
        </w:rPr>
        <w:t xml:space="preserve"> the </w:t>
      </w:r>
      <w:r>
        <w:rPr>
          <w:rFonts w:cs="Arial"/>
          <w:color w:val="auto"/>
          <w:lang w:val="en-GB"/>
        </w:rPr>
        <w:t xml:space="preserve">types of </w:t>
      </w:r>
      <w:r w:rsidR="004F0C0F">
        <w:rPr>
          <w:rFonts w:cs="Arial"/>
          <w:color w:val="auto"/>
          <w:lang w:val="en-GB"/>
        </w:rPr>
        <w:t xml:space="preserve">land </w:t>
      </w:r>
      <w:r w:rsidR="00865666" w:rsidRPr="00D45DD3">
        <w:rPr>
          <w:rFonts w:cs="Arial"/>
          <w:color w:val="auto"/>
          <w:lang w:val="en-GB"/>
        </w:rPr>
        <w:t xml:space="preserve">use </w:t>
      </w:r>
      <w:r w:rsidR="004F0C0F">
        <w:rPr>
          <w:rFonts w:cs="Arial"/>
          <w:color w:val="auto"/>
          <w:lang w:val="en-GB"/>
        </w:rPr>
        <w:t>in</w:t>
      </w:r>
      <w:r w:rsidR="00865666" w:rsidRPr="00D45DD3">
        <w:rPr>
          <w:rFonts w:cs="Arial"/>
          <w:color w:val="auto"/>
          <w:lang w:val="en-GB"/>
        </w:rPr>
        <w:t xml:space="preserve"> the </w:t>
      </w:r>
      <w:r>
        <w:rPr>
          <w:rFonts w:cs="Arial"/>
          <w:color w:val="auto"/>
          <w:lang w:val="en-GB"/>
        </w:rPr>
        <w:t xml:space="preserve">Berlin </w:t>
      </w:r>
      <w:r w:rsidR="00865666" w:rsidRPr="00D45DD3">
        <w:rPr>
          <w:rFonts w:cs="Arial"/>
          <w:color w:val="auto"/>
          <w:lang w:val="en-GB"/>
        </w:rPr>
        <w:t>municipal area in detail.</w:t>
      </w:r>
      <w:r w:rsidR="003325AE" w:rsidRPr="00D45DD3">
        <w:rPr>
          <w:rFonts w:cs="Arial"/>
          <w:color w:val="auto"/>
          <w:lang w:val="en-GB"/>
        </w:rPr>
        <w:t xml:space="preserve"> </w:t>
      </w:r>
      <w:r w:rsidR="004F0C0F" w:rsidRPr="00D45DD3">
        <w:rPr>
          <w:rFonts w:cs="Arial"/>
          <w:color w:val="auto"/>
          <w:lang w:val="en-GB"/>
        </w:rPr>
        <w:t xml:space="preserve">However, statements </w:t>
      </w:r>
      <w:r>
        <w:rPr>
          <w:rFonts w:cs="Arial"/>
          <w:color w:val="auto"/>
          <w:lang w:val="en-GB"/>
        </w:rPr>
        <w:t xml:space="preserve">on </w:t>
      </w:r>
      <w:r w:rsidR="00865666" w:rsidRPr="00D45DD3">
        <w:rPr>
          <w:rFonts w:cs="Arial"/>
          <w:color w:val="auto"/>
          <w:lang w:val="en-GB"/>
        </w:rPr>
        <w:t xml:space="preserve">the </w:t>
      </w:r>
      <w:r>
        <w:rPr>
          <w:rFonts w:cs="Arial"/>
          <w:b/>
          <w:color w:val="auto"/>
          <w:lang w:val="en-GB"/>
        </w:rPr>
        <w:t xml:space="preserve">degree </w:t>
      </w:r>
      <w:r w:rsidR="00865666" w:rsidRPr="00D45DD3">
        <w:rPr>
          <w:rFonts w:cs="Arial"/>
          <w:b/>
          <w:color w:val="auto"/>
          <w:lang w:val="en-GB"/>
        </w:rPr>
        <w:t>of structural use</w:t>
      </w:r>
      <w:r w:rsidR="00865666" w:rsidRPr="00D45DD3">
        <w:rPr>
          <w:rFonts w:cs="Arial"/>
          <w:color w:val="auto"/>
          <w:lang w:val="en-GB"/>
        </w:rPr>
        <w:t xml:space="preserve"> are only indirectly possible </w:t>
      </w:r>
      <w:r w:rsidR="004F0C0F">
        <w:rPr>
          <w:rFonts w:cs="Arial"/>
          <w:color w:val="auto"/>
          <w:lang w:val="en-GB"/>
        </w:rPr>
        <w:t>using</w:t>
      </w:r>
      <w:r w:rsidR="00865666" w:rsidRPr="00D45DD3">
        <w:rPr>
          <w:rFonts w:cs="Arial"/>
          <w:color w:val="auto"/>
          <w:lang w:val="en-GB"/>
        </w:rPr>
        <w:t xml:space="preserve"> the</w:t>
      </w:r>
      <w:r>
        <w:rPr>
          <w:rFonts w:cs="Arial"/>
          <w:color w:val="auto"/>
          <w:lang w:val="en-GB"/>
        </w:rPr>
        <w:t>se</w:t>
      </w:r>
      <w:r w:rsidR="00865666" w:rsidRPr="00D45DD3">
        <w:rPr>
          <w:rFonts w:cs="Arial"/>
          <w:color w:val="auto"/>
          <w:lang w:val="en-GB"/>
        </w:rPr>
        <w:t xml:space="preserve"> </w:t>
      </w:r>
      <w:r w:rsidR="00025148" w:rsidRPr="00D45DD3">
        <w:rPr>
          <w:rFonts w:cs="Arial"/>
          <w:color w:val="auto"/>
          <w:lang w:val="en-GB"/>
        </w:rPr>
        <w:t>maps</w:t>
      </w:r>
      <w:r w:rsidR="00865666" w:rsidRPr="00D45DD3">
        <w:rPr>
          <w:rFonts w:cs="Arial"/>
          <w:color w:val="auto"/>
          <w:lang w:val="en-GB"/>
        </w:rPr>
        <w:t xml:space="preserve"> available t</w:t>
      </w:r>
      <w:r>
        <w:rPr>
          <w:rFonts w:cs="Arial"/>
          <w:color w:val="auto"/>
          <w:lang w:val="en-GB"/>
        </w:rPr>
        <w:t>o date</w:t>
      </w:r>
      <w:r w:rsidR="00865666" w:rsidRPr="00D45DD3">
        <w:rPr>
          <w:rFonts w:cs="Arial"/>
          <w:color w:val="auto"/>
          <w:lang w:val="en-GB"/>
        </w:rPr>
        <w:t>.</w:t>
      </w:r>
    </w:p>
    <w:p w:rsidR="003325AE" w:rsidRPr="00D45DD3" w:rsidRDefault="004569B0" w:rsidP="00D12437">
      <w:pPr>
        <w:jc w:val="left"/>
        <w:rPr>
          <w:rFonts w:cs="Arial"/>
          <w:color w:val="auto"/>
          <w:lang w:val="en-GB"/>
        </w:rPr>
      </w:pPr>
      <w:r w:rsidRPr="00D45DD3">
        <w:rPr>
          <w:rFonts w:cs="Arial"/>
          <w:color w:val="auto"/>
          <w:lang w:val="en-GB"/>
        </w:rPr>
        <w:t xml:space="preserve">However, only </w:t>
      </w:r>
      <w:r>
        <w:rPr>
          <w:rFonts w:cs="Arial"/>
          <w:color w:val="auto"/>
          <w:lang w:val="en-US"/>
        </w:rPr>
        <w:t xml:space="preserve">the </w:t>
      </w:r>
      <w:r w:rsidRPr="004569B0">
        <w:rPr>
          <w:rFonts w:cs="Arial"/>
          <w:color w:val="auto"/>
          <w:lang w:val="en-GB"/>
        </w:rPr>
        <w:t>degree of structural use</w:t>
      </w:r>
      <w:r w:rsidRPr="00D45DD3">
        <w:rPr>
          <w:rFonts w:cs="Arial"/>
          <w:color w:val="auto"/>
          <w:lang w:val="en-GB"/>
        </w:rPr>
        <w:t xml:space="preserve"> </w:t>
      </w:r>
      <w:r>
        <w:rPr>
          <w:rFonts w:cs="Arial"/>
          <w:color w:val="auto"/>
          <w:lang w:val="en-GB"/>
        </w:rPr>
        <w:t xml:space="preserve">can </w:t>
      </w:r>
      <w:r w:rsidRPr="00D45DD3">
        <w:rPr>
          <w:rFonts w:cs="Arial"/>
          <w:color w:val="auto"/>
          <w:lang w:val="en-GB"/>
        </w:rPr>
        <w:t xml:space="preserve">describe </w:t>
      </w:r>
      <w:r w:rsidR="00865666" w:rsidRPr="00D45DD3">
        <w:rPr>
          <w:rFonts w:cs="Arial"/>
          <w:color w:val="auto"/>
          <w:lang w:val="en-GB"/>
        </w:rPr>
        <w:t xml:space="preserve">urban </w:t>
      </w:r>
      <w:r w:rsidR="00C13604" w:rsidRPr="00C13604">
        <w:rPr>
          <w:rFonts w:cs="Arial"/>
          <w:color w:val="auto"/>
          <w:lang w:val="en-GB"/>
        </w:rPr>
        <w:t>structural</w:t>
      </w:r>
      <w:r w:rsidR="00C13604" w:rsidRPr="00D45DD3">
        <w:rPr>
          <w:rFonts w:cs="Arial"/>
          <w:b/>
          <w:color w:val="auto"/>
          <w:lang w:val="en-GB"/>
        </w:rPr>
        <w:t xml:space="preserve"> </w:t>
      </w:r>
      <w:r w:rsidR="00865666" w:rsidRPr="00D45DD3">
        <w:rPr>
          <w:rFonts w:cs="Arial"/>
          <w:color w:val="auto"/>
          <w:lang w:val="en-GB"/>
        </w:rPr>
        <w:t xml:space="preserve">density and </w:t>
      </w:r>
      <w:r>
        <w:rPr>
          <w:rFonts w:cs="Arial"/>
          <w:color w:val="auto"/>
          <w:lang w:val="en-GB"/>
        </w:rPr>
        <w:t>utilisation</w:t>
      </w:r>
      <w:r w:rsidR="00865666" w:rsidRPr="00D45DD3">
        <w:rPr>
          <w:rFonts w:cs="Arial"/>
          <w:color w:val="auto"/>
          <w:lang w:val="en-GB"/>
        </w:rPr>
        <w:t xml:space="preserve"> intensity, </w:t>
      </w:r>
      <w:r>
        <w:rPr>
          <w:rFonts w:cs="Arial"/>
          <w:color w:val="auto"/>
          <w:lang w:val="en-GB"/>
        </w:rPr>
        <w:t xml:space="preserve">and hence, in addition to </w:t>
      </w:r>
      <w:r w:rsidR="00865666" w:rsidRPr="00D45DD3">
        <w:rPr>
          <w:rFonts w:cs="Arial"/>
          <w:color w:val="auto"/>
          <w:lang w:val="en-GB"/>
        </w:rPr>
        <w:t xml:space="preserve">the </w:t>
      </w:r>
      <w:r w:rsidRPr="00D45DD3">
        <w:rPr>
          <w:rFonts w:cs="Arial"/>
          <w:color w:val="auto"/>
          <w:lang w:val="en-GB"/>
        </w:rPr>
        <w:t xml:space="preserve">supply </w:t>
      </w:r>
      <w:r>
        <w:rPr>
          <w:rFonts w:cs="Arial"/>
          <w:color w:val="auto"/>
          <w:lang w:val="en-GB"/>
        </w:rPr>
        <w:t xml:space="preserve">of facilities and open space, </w:t>
      </w:r>
      <w:r w:rsidR="00865666" w:rsidRPr="00D45DD3">
        <w:rPr>
          <w:rFonts w:cs="Arial"/>
          <w:color w:val="auto"/>
          <w:lang w:val="en-GB"/>
        </w:rPr>
        <w:t xml:space="preserve">the urban </w:t>
      </w:r>
      <w:r>
        <w:rPr>
          <w:rFonts w:cs="Arial"/>
          <w:color w:val="auto"/>
          <w:lang w:val="en-GB"/>
        </w:rPr>
        <w:t xml:space="preserve">structural </w:t>
      </w:r>
      <w:r w:rsidR="00865666" w:rsidRPr="00D45DD3">
        <w:rPr>
          <w:rFonts w:cs="Arial"/>
          <w:color w:val="auto"/>
          <w:lang w:val="en-GB"/>
        </w:rPr>
        <w:t>quality of a residential area.</w:t>
      </w:r>
    </w:p>
    <w:p w:rsidR="003325AE" w:rsidRPr="00C13604" w:rsidRDefault="00865666" w:rsidP="00D12437">
      <w:pPr>
        <w:jc w:val="left"/>
        <w:rPr>
          <w:rFonts w:cs="Arial"/>
          <w:color w:val="auto"/>
          <w:lang w:val="en-GB"/>
        </w:rPr>
      </w:pPr>
      <w:r w:rsidRPr="00D45DD3">
        <w:rPr>
          <w:rFonts w:cs="Arial"/>
          <w:color w:val="auto"/>
          <w:lang w:val="en-GB"/>
        </w:rPr>
        <w:t>In the</w:t>
      </w:r>
      <w:r w:rsidR="00C13604">
        <w:rPr>
          <w:rFonts w:cs="Arial"/>
          <w:color w:val="auto"/>
          <w:lang w:val="en-GB"/>
        </w:rPr>
        <w:t xml:space="preserve"> present</w:t>
      </w:r>
      <w:r w:rsidRPr="00D45DD3">
        <w:rPr>
          <w:rFonts w:cs="Arial"/>
          <w:color w:val="auto"/>
          <w:lang w:val="en-GB"/>
        </w:rPr>
        <w:t xml:space="preserve"> </w:t>
      </w:r>
      <w:r w:rsidR="00025148" w:rsidRPr="00D45DD3">
        <w:rPr>
          <w:rFonts w:cs="Arial"/>
          <w:color w:val="auto"/>
          <w:lang w:val="en-GB"/>
        </w:rPr>
        <w:t>maps</w:t>
      </w:r>
      <w:r w:rsidRPr="00D45DD3">
        <w:rPr>
          <w:rFonts w:cs="Arial"/>
          <w:color w:val="auto"/>
          <w:lang w:val="en-GB"/>
        </w:rPr>
        <w:t xml:space="preserve"> </w:t>
      </w:r>
      <w:r w:rsidR="00C13604" w:rsidRPr="00D45DD3">
        <w:rPr>
          <w:rFonts w:cs="Arial"/>
          <w:color w:val="auto"/>
          <w:lang w:val="en-GB"/>
        </w:rPr>
        <w:t>therefore</w:t>
      </w:r>
      <w:r w:rsidR="00C13604">
        <w:rPr>
          <w:rFonts w:cs="Arial"/>
          <w:color w:val="auto"/>
          <w:lang w:val="en-GB"/>
        </w:rPr>
        <w:t>,</w:t>
      </w:r>
      <w:r w:rsidR="00C13604" w:rsidRPr="00D45DD3">
        <w:rPr>
          <w:rFonts w:cs="Arial"/>
          <w:color w:val="auto"/>
          <w:lang w:val="en-GB"/>
        </w:rPr>
        <w:t xml:space="preserve"> </w:t>
      </w:r>
      <w:r w:rsidRPr="00D45DD3">
        <w:rPr>
          <w:rFonts w:cs="Arial"/>
          <w:color w:val="auto"/>
          <w:lang w:val="en-GB"/>
        </w:rPr>
        <w:t xml:space="preserve">the </w:t>
      </w:r>
      <w:r w:rsidR="00C13604">
        <w:rPr>
          <w:rFonts w:cs="Arial"/>
          <w:color w:val="auto"/>
          <w:lang w:val="en-GB"/>
        </w:rPr>
        <w:t>degree</w:t>
      </w:r>
      <w:r w:rsidRPr="00D45DD3">
        <w:rPr>
          <w:rFonts w:cs="Arial"/>
          <w:color w:val="auto"/>
          <w:lang w:val="en-GB"/>
        </w:rPr>
        <w:t xml:space="preserve"> of structural use </w:t>
      </w:r>
      <w:r w:rsidR="00C13604">
        <w:rPr>
          <w:rFonts w:cs="Arial"/>
          <w:color w:val="auto"/>
          <w:lang w:val="en-GB"/>
        </w:rPr>
        <w:t>h</w:t>
      </w:r>
      <w:r w:rsidR="00C13604" w:rsidRPr="00D45DD3">
        <w:rPr>
          <w:rFonts w:cs="Arial"/>
          <w:color w:val="auto"/>
          <w:lang w:val="en-GB"/>
        </w:rPr>
        <w:t xml:space="preserve">as </w:t>
      </w:r>
      <w:r w:rsidR="00C13604">
        <w:rPr>
          <w:rFonts w:cs="Arial"/>
          <w:color w:val="auto"/>
          <w:lang w:val="en-GB"/>
        </w:rPr>
        <w:t xml:space="preserve">now been </w:t>
      </w:r>
      <w:r w:rsidR="00C13604" w:rsidRPr="00D45DD3">
        <w:rPr>
          <w:rFonts w:cs="Arial"/>
          <w:color w:val="auto"/>
          <w:lang w:val="en-GB"/>
        </w:rPr>
        <w:t xml:space="preserve">mapped for the entire </w:t>
      </w:r>
      <w:r w:rsidR="00C13604">
        <w:rPr>
          <w:rFonts w:cs="Arial"/>
          <w:color w:val="auto"/>
          <w:lang w:val="en-GB"/>
        </w:rPr>
        <w:t xml:space="preserve">city </w:t>
      </w:r>
      <w:r w:rsidR="00C13604" w:rsidRPr="00D45DD3">
        <w:rPr>
          <w:rFonts w:cs="Arial"/>
          <w:color w:val="auto"/>
          <w:lang w:val="en-GB"/>
        </w:rPr>
        <w:t>for the first time</w:t>
      </w:r>
      <w:r w:rsidR="004F0C0F" w:rsidRPr="004F0C0F">
        <w:rPr>
          <w:rFonts w:cs="Arial"/>
          <w:color w:val="auto"/>
          <w:lang w:val="en-GB"/>
        </w:rPr>
        <w:t xml:space="preserve"> </w:t>
      </w:r>
      <w:r w:rsidR="004F0C0F" w:rsidRPr="00D45DD3">
        <w:rPr>
          <w:rFonts w:cs="Arial"/>
          <w:color w:val="auto"/>
          <w:lang w:val="en-GB"/>
        </w:rPr>
        <w:t>at the level of blocks and block</w:t>
      </w:r>
      <w:r w:rsidR="004F0C0F">
        <w:rPr>
          <w:rFonts w:cs="Arial"/>
          <w:color w:val="auto"/>
          <w:lang w:val="en-GB"/>
        </w:rPr>
        <w:t xml:space="preserve"> segment</w:t>
      </w:r>
      <w:r w:rsidR="004F0C0F" w:rsidRPr="00D45DD3">
        <w:rPr>
          <w:rFonts w:cs="Arial"/>
          <w:color w:val="auto"/>
          <w:lang w:val="en-GB"/>
        </w:rPr>
        <w:t>s</w:t>
      </w:r>
      <w:r w:rsidR="00C13604">
        <w:rPr>
          <w:rFonts w:cs="Arial"/>
          <w:color w:val="auto"/>
          <w:lang w:val="en-GB"/>
        </w:rPr>
        <w:t>,</w:t>
      </w:r>
      <w:r w:rsidR="00C13604" w:rsidRPr="00D45DD3">
        <w:rPr>
          <w:rFonts w:cs="Arial"/>
          <w:color w:val="auto"/>
          <w:lang w:val="en-GB"/>
        </w:rPr>
        <w:t xml:space="preserve"> </w:t>
      </w:r>
      <w:r w:rsidRPr="00D45DD3">
        <w:rPr>
          <w:rFonts w:cs="Arial"/>
          <w:color w:val="auto"/>
          <w:lang w:val="en-GB"/>
        </w:rPr>
        <w:t xml:space="preserve">in </w:t>
      </w:r>
      <w:r w:rsidR="004F0C0F">
        <w:rPr>
          <w:rFonts w:cs="Arial"/>
          <w:color w:val="auto"/>
          <w:lang w:val="en-GB"/>
        </w:rPr>
        <w:t xml:space="preserve">the </w:t>
      </w:r>
      <w:r w:rsidRPr="00D45DD3">
        <w:rPr>
          <w:rFonts w:cs="Arial"/>
          <w:color w:val="auto"/>
          <w:lang w:val="en-GB"/>
        </w:rPr>
        <w:t xml:space="preserve">form of </w:t>
      </w:r>
      <w:r w:rsidR="00C13604" w:rsidRPr="00C13604">
        <w:rPr>
          <w:rFonts w:cs="Arial"/>
          <w:noProof w:val="0"/>
          <w:color w:val="auto"/>
          <w:lang w:val="en-GB"/>
        </w:rPr>
        <w:t>land to building ratio</w:t>
      </w:r>
      <w:r w:rsidR="00C13604">
        <w:rPr>
          <w:rFonts w:cs="Arial"/>
          <w:noProof w:val="0"/>
          <w:color w:val="auto"/>
          <w:lang w:val="en-GB"/>
        </w:rPr>
        <w:t>s</w:t>
      </w:r>
      <w:r w:rsidR="00C13604" w:rsidRPr="00D45DD3">
        <w:rPr>
          <w:rFonts w:cs="Arial"/>
          <w:b/>
          <w:noProof w:val="0"/>
          <w:color w:val="auto"/>
          <w:lang w:val="en-GB"/>
        </w:rPr>
        <w:t xml:space="preserve"> </w:t>
      </w:r>
      <w:r w:rsidRPr="00D45DD3">
        <w:rPr>
          <w:rFonts w:cs="Arial"/>
          <w:color w:val="auto"/>
          <w:lang w:val="en-GB"/>
        </w:rPr>
        <w:t>(</w:t>
      </w:r>
      <w:r w:rsidR="005F06D0" w:rsidRPr="00D45DD3">
        <w:rPr>
          <w:rFonts w:cs="Arial"/>
          <w:color w:val="auto"/>
          <w:lang w:val="en-GB"/>
        </w:rPr>
        <w:t>LBR</w:t>
      </w:r>
      <w:r w:rsidRPr="00D45DD3">
        <w:rPr>
          <w:rFonts w:cs="Arial"/>
          <w:color w:val="auto"/>
          <w:lang w:val="en-GB"/>
        </w:rPr>
        <w:t xml:space="preserve">) and </w:t>
      </w:r>
      <w:r w:rsidR="00C13604">
        <w:rPr>
          <w:rFonts w:cs="Arial"/>
          <w:color w:val="auto"/>
          <w:lang w:val="en-GB"/>
        </w:rPr>
        <w:t>floor space indices</w:t>
      </w:r>
      <w:r w:rsidRPr="00D45DD3">
        <w:rPr>
          <w:rFonts w:cs="Arial"/>
          <w:color w:val="auto"/>
          <w:lang w:val="en-GB"/>
        </w:rPr>
        <w:t xml:space="preserve"> (</w:t>
      </w:r>
      <w:r w:rsidR="005F06D0" w:rsidRPr="00D45DD3">
        <w:rPr>
          <w:rFonts w:cs="Arial"/>
          <w:color w:val="auto"/>
          <w:lang w:val="en-GB"/>
        </w:rPr>
        <w:t>FSI</w:t>
      </w:r>
      <w:r w:rsidRPr="00D45DD3">
        <w:rPr>
          <w:rFonts w:cs="Arial"/>
          <w:color w:val="auto"/>
          <w:lang w:val="en-GB"/>
        </w:rPr>
        <w:t>).</w:t>
      </w:r>
      <w:r w:rsidR="003325AE" w:rsidRPr="00D45DD3">
        <w:rPr>
          <w:rFonts w:cs="Arial"/>
          <w:color w:val="auto"/>
          <w:lang w:val="en-GB"/>
        </w:rPr>
        <w:t xml:space="preserve"> </w:t>
      </w:r>
      <w:r w:rsidRPr="00D45DD3">
        <w:rPr>
          <w:rFonts w:cs="Arial"/>
          <w:color w:val="auto"/>
          <w:lang w:val="en-GB"/>
        </w:rPr>
        <w:t xml:space="preserve">The </w:t>
      </w:r>
      <w:r w:rsidR="004F0C0F" w:rsidRPr="00D45DD3">
        <w:rPr>
          <w:rFonts w:cs="Arial"/>
          <w:color w:val="auto"/>
          <w:lang w:val="en-GB"/>
        </w:rPr>
        <w:t xml:space="preserve">Maps </w:t>
      </w:r>
      <w:r w:rsidRPr="00D45DD3">
        <w:rPr>
          <w:rFonts w:cs="Arial"/>
          <w:color w:val="auto"/>
          <w:lang w:val="en-GB"/>
        </w:rPr>
        <w:t xml:space="preserve">06.09.1 </w:t>
      </w:r>
      <w:r w:rsidR="00C13604" w:rsidRPr="00C13604">
        <w:rPr>
          <w:rFonts w:cs="Arial"/>
          <w:i/>
          <w:noProof w:val="0"/>
          <w:color w:val="auto"/>
          <w:lang w:val="en-GB"/>
        </w:rPr>
        <w:t>Land to Building Ratio</w:t>
      </w:r>
      <w:r w:rsidR="00C13604" w:rsidRPr="00C13604">
        <w:rPr>
          <w:rFonts w:cs="Arial"/>
          <w:b/>
          <w:i/>
          <w:noProof w:val="0"/>
          <w:color w:val="auto"/>
          <w:lang w:val="en-GB"/>
        </w:rPr>
        <w:t xml:space="preserve"> </w:t>
      </w:r>
      <w:r w:rsidRPr="00C13604">
        <w:rPr>
          <w:rFonts w:cs="Arial"/>
          <w:i/>
          <w:color w:val="auto"/>
          <w:lang w:val="en-GB"/>
        </w:rPr>
        <w:t>(</w:t>
      </w:r>
      <w:r w:rsidR="005F06D0" w:rsidRPr="00C13604">
        <w:rPr>
          <w:rFonts w:cs="Arial"/>
          <w:i/>
          <w:color w:val="auto"/>
          <w:lang w:val="en-GB"/>
        </w:rPr>
        <w:t>LBR</w:t>
      </w:r>
      <w:r w:rsidRPr="00C13604">
        <w:rPr>
          <w:rFonts w:cs="Arial"/>
          <w:i/>
          <w:color w:val="auto"/>
          <w:lang w:val="en-GB"/>
        </w:rPr>
        <w:t>)</w:t>
      </w:r>
      <w:r w:rsidRPr="00D45DD3">
        <w:rPr>
          <w:rFonts w:cs="Arial"/>
          <w:i/>
          <w:color w:val="auto"/>
          <w:lang w:val="en-GB"/>
        </w:rPr>
        <w:t xml:space="preserve"> </w:t>
      </w:r>
      <w:r w:rsidRPr="00C13604">
        <w:rPr>
          <w:rFonts w:cs="Arial"/>
          <w:color w:val="auto"/>
          <w:lang w:val="en-GB"/>
        </w:rPr>
        <w:t xml:space="preserve">and 06.09.2 </w:t>
      </w:r>
      <w:r w:rsidR="00C13604" w:rsidRPr="00C13604">
        <w:rPr>
          <w:rFonts w:cs="Arial"/>
          <w:i/>
          <w:color w:val="auto"/>
          <w:lang w:val="en-GB"/>
        </w:rPr>
        <w:t>Floor Space Index (FSI)</w:t>
      </w:r>
      <w:r w:rsidR="00C13604">
        <w:rPr>
          <w:rFonts w:cs="Arial"/>
          <w:color w:val="auto"/>
          <w:lang w:val="en-GB"/>
        </w:rPr>
        <w:t xml:space="preserve"> provide</w:t>
      </w:r>
      <w:r w:rsidRPr="00C13604">
        <w:rPr>
          <w:rFonts w:cs="Arial"/>
          <w:color w:val="auto"/>
          <w:lang w:val="en-GB"/>
        </w:rPr>
        <w:t xml:space="preserve"> a detailed </w:t>
      </w:r>
      <w:r w:rsidR="00C13604" w:rsidRPr="00C13604">
        <w:rPr>
          <w:rFonts w:cs="Arial"/>
          <w:b/>
          <w:color w:val="auto"/>
          <w:lang w:val="en-GB"/>
        </w:rPr>
        <w:t>overview</w:t>
      </w:r>
      <w:r w:rsidRPr="00C13604">
        <w:rPr>
          <w:rFonts w:cs="Arial"/>
          <w:b/>
          <w:color w:val="auto"/>
          <w:lang w:val="en-GB"/>
        </w:rPr>
        <w:t xml:space="preserve"> of urban </w:t>
      </w:r>
      <w:r w:rsidR="00C13604">
        <w:rPr>
          <w:rFonts w:cs="Arial"/>
          <w:b/>
          <w:color w:val="auto"/>
          <w:lang w:val="en-GB"/>
        </w:rPr>
        <w:t xml:space="preserve">structural </w:t>
      </w:r>
      <w:r w:rsidRPr="00C13604">
        <w:rPr>
          <w:rFonts w:cs="Arial"/>
          <w:b/>
          <w:color w:val="auto"/>
          <w:lang w:val="en-GB"/>
        </w:rPr>
        <w:t xml:space="preserve">density </w:t>
      </w:r>
      <w:r w:rsidR="00C13604">
        <w:rPr>
          <w:rFonts w:cs="Arial"/>
          <w:b/>
          <w:color w:val="auto"/>
          <w:lang w:val="en-GB"/>
        </w:rPr>
        <w:t>in</w:t>
      </w:r>
      <w:r w:rsidRPr="00C13604">
        <w:rPr>
          <w:rFonts w:cs="Arial"/>
          <w:b/>
          <w:color w:val="auto"/>
          <w:lang w:val="en-GB"/>
        </w:rPr>
        <w:t xml:space="preserve"> Berlin</w:t>
      </w:r>
      <w:r w:rsidRPr="00C13604">
        <w:rPr>
          <w:rFonts w:cs="Arial"/>
          <w:color w:val="auto"/>
          <w:lang w:val="en-GB"/>
        </w:rPr>
        <w:t>.</w:t>
      </w:r>
    </w:p>
    <w:p w:rsidR="003325AE" w:rsidRPr="00D45DD3" w:rsidRDefault="00865666" w:rsidP="00D12437">
      <w:pPr>
        <w:pStyle w:val="StandardWeb"/>
        <w:spacing w:before="0" w:beforeAutospacing="0" w:after="120" w:afterAutospacing="0"/>
        <w:rPr>
          <w:rFonts w:ascii="Arial" w:hAnsi="Arial" w:cs="Arial"/>
          <w:sz w:val="20"/>
          <w:szCs w:val="20"/>
          <w:lang w:val="en-GB"/>
        </w:rPr>
      </w:pPr>
      <w:r w:rsidRPr="00D45DD3">
        <w:rPr>
          <w:rFonts w:ascii="Arial" w:hAnsi="Arial" w:cs="Arial"/>
          <w:sz w:val="20"/>
          <w:szCs w:val="20"/>
          <w:lang w:val="en-GB"/>
        </w:rPr>
        <w:t xml:space="preserve">The two </w:t>
      </w:r>
      <w:r w:rsidR="00673765">
        <w:rPr>
          <w:rFonts w:ascii="Arial" w:hAnsi="Arial" w:cs="Arial"/>
          <w:sz w:val="20"/>
          <w:szCs w:val="20"/>
          <w:lang w:val="en-GB"/>
        </w:rPr>
        <w:t>parameters</w:t>
      </w:r>
      <w:r w:rsidRPr="00D45DD3">
        <w:rPr>
          <w:rFonts w:ascii="Arial" w:hAnsi="Arial" w:cs="Arial"/>
          <w:sz w:val="20"/>
          <w:szCs w:val="20"/>
          <w:lang w:val="en-GB"/>
        </w:rPr>
        <w:t xml:space="preserve"> </w:t>
      </w:r>
      <w:r w:rsidR="00737200">
        <w:rPr>
          <w:rFonts w:ascii="Arial" w:hAnsi="Arial" w:cs="Arial"/>
          <w:sz w:val="20"/>
          <w:szCs w:val="20"/>
          <w:lang w:val="en-GB"/>
        </w:rPr>
        <w:t>“</w:t>
      </w:r>
      <w:r w:rsidR="00673765" w:rsidRPr="00C13604">
        <w:rPr>
          <w:rFonts w:ascii="Arial" w:hAnsi="Arial" w:cs="Arial"/>
          <w:sz w:val="20"/>
          <w:szCs w:val="20"/>
          <w:lang w:val="en-GB"/>
        </w:rPr>
        <w:t>land to building ratio</w:t>
      </w:r>
      <w:r w:rsidR="00737200">
        <w:rPr>
          <w:rFonts w:ascii="Arial" w:hAnsi="Arial" w:cs="Arial"/>
          <w:sz w:val="20"/>
          <w:szCs w:val="20"/>
          <w:lang w:val="en-GB"/>
        </w:rPr>
        <w:t>”</w:t>
      </w:r>
      <w:r w:rsidR="00673765" w:rsidRPr="00C13604">
        <w:rPr>
          <w:rFonts w:ascii="Arial" w:hAnsi="Arial" w:cs="Arial"/>
          <w:sz w:val="20"/>
          <w:szCs w:val="20"/>
          <w:lang w:val="en-GB"/>
        </w:rPr>
        <w:t xml:space="preserve"> </w:t>
      </w:r>
      <w:r w:rsidR="00673765" w:rsidRPr="00D45DD3">
        <w:rPr>
          <w:rFonts w:ascii="Arial" w:hAnsi="Arial" w:cs="Arial"/>
          <w:sz w:val="20"/>
          <w:szCs w:val="20"/>
          <w:lang w:val="en-GB"/>
        </w:rPr>
        <w:t>a</w:t>
      </w:r>
      <w:r w:rsidRPr="00D45DD3">
        <w:rPr>
          <w:rFonts w:ascii="Arial" w:hAnsi="Arial" w:cs="Arial"/>
          <w:sz w:val="20"/>
          <w:szCs w:val="20"/>
          <w:lang w:val="en-GB"/>
        </w:rPr>
        <w:t xml:space="preserve">nd </w:t>
      </w:r>
      <w:r w:rsidR="00737200">
        <w:rPr>
          <w:rFonts w:ascii="Arial" w:hAnsi="Arial" w:cs="Arial"/>
          <w:sz w:val="20"/>
          <w:szCs w:val="20"/>
          <w:lang w:val="en-GB"/>
        </w:rPr>
        <w:t>“</w:t>
      </w:r>
      <w:r w:rsidR="00025148" w:rsidRPr="00D45DD3">
        <w:rPr>
          <w:rFonts w:ascii="Arial" w:hAnsi="Arial" w:cs="Arial"/>
          <w:sz w:val="20"/>
          <w:szCs w:val="20"/>
          <w:lang w:val="en-GB"/>
        </w:rPr>
        <w:t>floor space index</w:t>
      </w:r>
      <w:r w:rsidR="00737200">
        <w:rPr>
          <w:rFonts w:ascii="Arial" w:hAnsi="Arial" w:cs="Arial"/>
          <w:sz w:val="20"/>
          <w:szCs w:val="20"/>
          <w:lang w:val="en-GB"/>
        </w:rPr>
        <w:t>”</w:t>
      </w:r>
      <w:r w:rsidRPr="00D45DD3">
        <w:rPr>
          <w:rFonts w:ascii="Arial" w:hAnsi="Arial" w:cs="Arial"/>
          <w:sz w:val="20"/>
          <w:szCs w:val="20"/>
          <w:lang w:val="en-GB"/>
        </w:rPr>
        <w:t xml:space="preserve"> are planning values </w:t>
      </w:r>
      <w:r w:rsidR="00C13604">
        <w:rPr>
          <w:rFonts w:ascii="Arial" w:hAnsi="Arial" w:cs="Arial"/>
          <w:sz w:val="20"/>
          <w:szCs w:val="20"/>
          <w:lang w:val="en-GB"/>
        </w:rPr>
        <w:t xml:space="preserve">under construction law </w:t>
      </w:r>
      <w:r w:rsidRPr="00D45DD3">
        <w:rPr>
          <w:rFonts w:ascii="Arial" w:hAnsi="Arial" w:cs="Arial"/>
          <w:sz w:val="20"/>
          <w:szCs w:val="20"/>
          <w:lang w:val="en-GB"/>
        </w:rPr>
        <w:t xml:space="preserve">which </w:t>
      </w:r>
      <w:r w:rsidR="00C13604">
        <w:rPr>
          <w:rFonts w:ascii="Arial" w:hAnsi="Arial" w:cs="Arial"/>
          <w:sz w:val="20"/>
          <w:szCs w:val="20"/>
          <w:lang w:val="en-GB"/>
        </w:rPr>
        <w:t xml:space="preserve">describe </w:t>
      </w:r>
      <w:r w:rsidRPr="00D45DD3">
        <w:rPr>
          <w:rFonts w:ascii="Arial" w:hAnsi="Arial" w:cs="Arial"/>
          <w:sz w:val="20"/>
          <w:szCs w:val="20"/>
          <w:lang w:val="en-GB"/>
        </w:rPr>
        <w:t xml:space="preserve">the </w:t>
      </w:r>
      <w:r w:rsidR="00C13604">
        <w:rPr>
          <w:rFonts w:ascii="Arial" w:hAnsi="Arial" w:cs="Arial"/>
          <w:sz w:val="20"/>
          <w:szCs w:val="20"/>
          <w:lang w:val="en-GB"/>
        </w:rPr>
        <w:t xml:space="preserve">degree of utilisation </w:t>
      </w:r>
      <w:r w:rsidRPr="00D45DD3">
        <w:rPr>
          <w:rFonts w:ascii="Arial" w:hAnsi="Arial" w:cs="Arial"/>
          <w:sz w:val="20"/>
          <w:szCs w:val="20"/>
          <w:lang w:val="en-GB"/>
        </w:rPr>
        <w:t>of lots.</w:t>
      </w:r>
      <w:r w:rsidR="003325AE" w:rsidRPr="00D45DD3">
        <w:rPr>
          <w:rFonts w:ascii="Arial" w:hAnsi="Arial" w:cs="Arial"/>
          <w:sz w:val="20"/>
          <w:szCs w:val="20"/>
          <w:lang w:val="en-GB"/>
        </w:rPr>
        <w:t xml:space="preserve"> </w:t>
      </w:r>
      <w:r w:rsidRPr="00D45DD3">
        <w:rPr>
          <w:rFonts w:ascii="Arial" w:hAnsi="Arial" w:cs="Arial"/>
          <w:sz w:val="20"/>
          <w:szCs w:val="20"/>
          <w:lang w:val="en-GB"/>
        </w:rPr>
        <w:t xml:space="preserve">The regulations of the </w:t>
      </w:r>
      <w:r w:rsidR="00673765" w:rsidRPr="00D45DD3">
        <w:rPr>
          <w:rFonts w:ascii="Arial" w:hAnsi="Arial" w:cs="Arial"/>
          <w:sz w:val="20"/>
          <w:szCs w:val="20"/>
          <w:lang w:val="en-GB"/>
        </w:rPr>
        <w:t xml:space="preserve">Construction </w:t>
      </w:r>
      <w:r w:rsidR="00673765">
        <w:rPr>
          <w:rFonts w:ascii="Arial" w:hAnsi="Arial" w:cs="Arial"/>
          <w:sz w:val="20"/>
          <w:szCs w:val="20"/>
          <w:lang w:val="en-GB"/>
        </w:rPr>
        <w:t>Utilisation</w:t>
      </w:r>
      <w:r w:rsidRPr="00D45DD3">
        <w:rPr>
          <w:rFonts w:ascii="Arial" w:hAnsi="Arial" w:cs="Arial"/>
          <w:sz w:val="20"/>
          <w:szCs w:val="20"/>
          <w:lang w:val="en-GB"/>
        </w:rPr>
        <w:t xml:space="preserve"> </w:t>
      </w:r>
      <w:r w:rsidR="00673765" w:rsidRPr="00D45DD3">
        <w:rPr>
          <w:rFonts w:ascii="Arial" w:hAnsi="Arial" w:cs="Arial"/>
          <w:sz w:val="20"/>
          <w:szCs w:val="20"/>
          <w:lang w:val="en-GB"/>
        </w:rPr>
        <w:t xml:space="preserve">Ordinance </w:t>
      </w:r>
      <w:r w:rsidR="00673765">
        <w:rPr>
          <w:rFonts w:ascii="Arial" w:hAnsi="Arial" w:cs="Arial"/>
          <w:sz w:val="20"/>
          <w:szCs w:val="20"/>
          <w:lang w:val="en-GB"/>
        </w:rPr>
        <w:t>(</w:t>
      </w:r>
      <w:r w:rsidR="00673765" w:rsidRPr="00D45DD3">
        <w:rPr>
          <w:rFonts w:ascii="Arial" w:hAnsi="Arial" w:cs="Arial"/>
          <w:sz w:val="20"/>
          <w:szCs w:val="20"/>
          <w:lang w:val="en-GB"/>
        </w:rPr>
        <w:t>BauNVO)</w:t>
      </w:r>
      <w:r w:rsidR="00673765">
        <w:rPr>
          <w:rFonts w:ascii="Arial" w:hAnsi="Arial" w:cs="Arial"/>
          <w:sz w:val="20"/>
          <w:szCs w:val="20"/>
          <w:lang w:val="en-GB"/>
        </w:rPr>
        <w:t xml:space="preserve"> of </w:t>
      </w:r>
      <w:r w:rsidRPr="00D45DD3">
        <w:rPr>
          <w:rFonts w:ascii="Arial" w:hAnsi="Arial" w:cs="Arial"/>
          <w:sz w:val="20"/>
          <w:szCs w:val="20"/>
          <w:lang w:val="en-GB"/>
        </w:rPr>
        <w:t xml:space="preserve">1990 </w:t>
      </w:r>
      <w:r w:rsidR="00673765">
        <w:rPr>
          <w:rFonts w:ascii="Arial" w:hAnsi="Arial" w:cs="Arial"/>
          <w:sz w:val="20"/>
          <w:szCs w:val="20"/>
          <w:lang w:val="en-GB"/>
        </w:rPr>
        <w:t>provide the</w:t>
      </w:r>
      <w:r w:rsidRPr="00D45DD3">
        <w:rPr>
          <w:rFonts w:ascii="Arial" w:hAnsi="Arial" w:cs="Arial"/>
          <w:sz w:val="20"/>
          <w:szCs w:val="20"/>
          <w:lang w:val="en-GB"/>
        </w:rPr>
        <w:t xml:space="preserve"> basis for the calculation.</w:t>
      </w:r>
      <w:r w:rsidR="00DE0FA4" w:rsidRPr="00D45DD3">
        <w:rPr>
          <w:rFonts w:ascii="Arial" w:hAnsi="Arial" w:cs="Arial"/>
          <w:sz w:val="20"/>
          <w:szCs w:val="20"/>
          <w:lang w:val="en-GB"/>
        </w:rPr>
        <w:t xml:space="preserve"> </w:t>
      </w:r>
      <w:r w:rsidRPr="00D45DD3">
        <w:rPr>
          <w:rFonts w:ascii="Arial" w:hAnsi="Arial" w:cs="Arial"/>
          <w:sz w:val="20"/>
          <w:szCs w:val="20"/>
          <w:lang w:val="en-GB"/>
        </w:rPr>
        <w:t xml:space="preserve">The regulations of the </w:t>
      </w:r>
      <w:r w:rsidR="00673765" w:rsidRPr="00D45DD3">
        <w:rPr>
          <w:rFonts w:ascii="Arial" w:hAnsi="Arial" w:cs="Arial"/>
          <w:sz w:val="20"/>
          <w:szCs w:val="20"/>
          <w:lang w:val="en-GB"/>
        </w:rPr>
        <w:t xml:space="preserve">Construction </w:t>
      </w:r>
      <w:r w:rsidR="00673765">
        <w:rPr>
          <w:rFonts w:ascii="Arial" w:hAnsi="Arial" w:cs="Arial"/>
          <w:sz w:val="20"/>
          <w:szCs w:val="20"/>
          <w:lang w:val="en-GB"/>
        </w:rPr>
        <w:t>Utilisation</w:t>
      </w:r>
      <w:r w:rsidR="00673765" w:rsidRPr="00D45DD3">
        <w:rPr>
          <w:rFonts w:ascii="Arial" w:hAnsi="Arial" w:cs="Arial"/>
          <w:sz w:val="20"/>
          <w:szCs w:val="20"/>
          <w:lang w:val="en-GB"/>
        </w:rPr>
        <w:t xml:space="preserve"> </w:t>
      </w:r>
      <w:r w:rsidR="00673765">
        <w:rPr>
          <w:rFonts w:ascii="Arial" w:hAnsi="Arial" w:cs="Arial"/>
          <w:sz w:val="20"/>
          <w:szCs w:val="20"/>
          <w:lang w:val="en-GB"/>
        </w:rPr>
        <w:t xml:space="preserve">Ordinances of </w:t>
      </w:r>
      <w:r w:rsidRPr="00D45DD3">
        <w:rPr>
          <w:rFonts w:ascii="Arial" w:hAnsi="Arial" w:cs="Arial"/>
          <w:sz w:val="20"/>
          <w:szCs w:val="20"/>
          <w:lang w:val="en-GB"/>
        </w:rPr>
        <w:t xml:space="preserve">1962, 1968 and 1977 </w:t>
      </w:r>
      <w:r w:rsidR="004F0C0F">
        <w:rPr>
          <w:rFonts w:ascii="Arial" w:hAnsi="Arial" w:cs="Arial"/>
          <w:sz w:val="20"/>
          <w:szCs w:val="20"/>
          <w:lang w:val="en-GB"/>
        </w:rPr>
        <w:t>have not been</w:t>
      </w:r>
      <w:r w:rsidR="00673765">
        <w:rPr>
          <w:rFonts w:ascii="Arial" w:hAnsi="Arial" w:cs="Arial"/>
          <w:sz w:val="20"/>
          <w:szCs w:val="20"/>
          <w:lang w:val="en-GB"/>
        </w:rPr>
        <w:t xml:space="preserve"> </w:t>
      </w:r>
      <w:r w:rsidRPr="00D45DD3">
        <w:rPr>
          <w:rFonts w:ascii="Arial" w:hAnsi="Arial" w:cs="Arial"/>
          <w:sz w:val="20"/>
          <w:szCs w:val="20"/>
          <w:lang w:val="en-GB"/>
        </w:rPr>
        <w:t>considered</w:t>
      </w:r>
      <w:r w:rsidR="00673765">
        <w:rPr>
          <w:rFonts w:ascii="Arial" w:hAnsi="Arial" w:cs="Arial"/>
          <w:sz w:val="20"/>
          <w:szCs w:val="20"/>
          <w:lang w:val="en-GB"/>
        </w:rPr>
        <w:t>,</w:t>
      </w:r>
      <w:r w:rsidRPr="00D45DD3">
        <w:rPr>
          <w:rFonts w:ascii="Arial" w:hAnsi="Arial" w:cs="Arial"/>
          <w:sz w:val="20"/>
          <w:szCs w:val="20"/>
          <w:lang w:val="en-GB"/>
        </w:rPr>
        <w:t xml:space="preserve"> since they do</w:t>
      </w:r>
      <w:r w:rsidR="0012119C" w:rsidRPr="00D45DD3">
        <w:rPr>
          <w:rFonts w:ascii="Arial" w:hAnsi="Arial" w:cs="Arial"/>
          <w:sz w:val="20"/>
          <w:szCs w:val="20"/>
          <w:lang w:val="en-GB"/>
        </w:rPr>
        <w:t xml:space="preserve"> not</w:t>
      </w:r>
      <w:r w:rsidRPr="00D45DD3">
        <w:rPr>
          <w:rFonts w:ascii="Arial" w:hAnsi="Arial" w:cs="Arial"/>
          <w:sz w:val="20"/>
          <w:szCs w:val="20"/>
          <w:lang w:val="en-GB"/>
        </w:rPr>
        <w:t xml:space="preserve"> </w:t>
      </w:r>
      <w:r w:rsidR="00673765">
        <w:rPr>
          <w:rFonts w:ascii="Arial" w:hAnsi="Arial" w:cs="Arial"/>
          <w:sz w:val="20"/>
          <w:szCs w:val="20"/>
          <w:lang w:val="en-GB"/>
        </w:rPr>
        <w:t xml:space="preserve">significantly contribute to </w:t>
      </w:r>
      <w:r w:rsidRPr="00D45DD3">
        <w:rPr>
          <w:rFonts w:ascii="Arial" w:hAnsi="Arial" w:cs="Arial"/>
          <w:sz w:val="20"/>
          <w:szCs w:val="20"/>
          <w:lang w:val="en-GB"/>
        </w:rPr>
        <w:t xml:space="preserve">the representation of urban </w:t>
      </w:r>
      <w:r w:rsidR="00673765">
        <w:rPr>
          <w:rFonts w:ascii="Arial" w:hAnsi="Arial" w:cs="Arial"/>
          <w:sz w:val="20"/>
          <w:szCs w:val="20"/>
          <w:lang w:val="en-GB"/>
        </w:rPr>
        <w:t xml:space="preserve">structural </w:t>
      </w:r>
      <w:r w:rsidRPr="00D45DD3">
        <w:rPr>
          <w:rFonts w:ascii="Arial" w:hAnsi="Arial" w:cs="Arial"/>
          <w:sz w:val="20"/>
          <w:szCs w:val="20"/>
          <w:lang w:val="en-GB"/>
        </w:rPr>
        <w:t>density.</w:t>
      </w:r>
    </w:p>
    <w:p w:rsidR="003325AE" w:rsidRPr="00D45DD3" w:rsidRDefault="00865666" w:rsidP="00D12437">
      <w:pPr>
        <w:widowControl w:val="0"/>
        <w:jc w:val="left"/>
        <w:rPr>
          <w:rFonts w:cs="Arial"/>
          <w:noProof w:val="0"/>
          <w:color w:val="auto"/>
          <w:lang w:val="en-GB"/>
        </w:rPr>
      </w:pPr>
      <w:r w:rsidRPr="00D45DD3">
        <w:rPr>
          <w:rFonts w:cs="Arial"/>
          <w:noProof w:val="0"/>
          <w:color w:val="auto"/>
          <w:lang w:val="en-GB"/>
        </w:rPr>
        <w:t xml:space="preserve">The </w:t>
      </w:r>
      <w:r w:rsidR="005F06D0" w:rsidRPr="00D45DD3">
        <w:rPr>
          <w:rFonts w:cs="Arial"/>
          <w:b/>
          <w:noProof w:val="0"/>
          <w:color w:val="auto"/>
          <w:lang w:val="en-GB"/>
        </w:rPr>
        <w:t>land to building ratio</w:t>
      </w:r>
      <w:r w:rsidRPr="00D45DD3">
        <w:rPr>
          <w:rFonts w:cs="Arial"/>
          <w:b/>
          <w:noProof w:val="0"/>
          <w:color w:val="auto"/>
          <w:lang w:val="en-GB"/>
        </w:rPr>
        <w:t xml:space="preserve"> (</w:t>
      </w:r>
      <w:r w:rsidR="005F06D0" w:rsidRPr="00D45DD3">
        <w:rPr>
          <w:rFonts w:cs="Arial"/>
          <w:b/>
          <w:noProof w:val="0"/>
          <w:color w:val="auto"/>
          <w:lang w:val="en-GB"/>
        </w:rPr>
        <w:t>LBR</w:t>
      </w:r>
      <w:r w:rsidRPr="00D45DD3">
        <w:rPr>
          <w:rFonts w:cs="Arial"/>
          <w:b/>
          <w:noProof w:val="0"/>
          <w:color w:val="auto"/>
          <w:lang w:val="en-GB"/>
        </w:rPr>
        <w:t>)</w:t>
      </w:r>
      <w:r w:rsidRPr="00D45DD3">
        <w:rPr>
          <w:rFonts w:cs="Arial"/>
          <w:noProof w:val="0"/>
          <w:color w:val="auto"/>
          <w:lang w:val="en-GB"/>
        </w:rPr>
        <w:t xml:space="preserve"> indicates the </w:t>
      </w:r>
      <w:r w:rsidR="004F0C0F">
        <w:rPr>
          <w:rFonts w:cs="Arial"/>
          <w:noProof w:val="0"/>
          <w:color w:val="auto"/>
          <w:lang w:val="en-GB"/>
        </w:rPr>
        <w:t>share</w:t>
      </w:r>
      <w:r w:rsidRPr="00D45DD3">
        <w:rPr>
          <w:rFonts w:cs="Arial"/>
          <w:noProof w:val="0"/>
          <w:color w:val="auto"/>
          <w:lang w:val="en-GB"/>
        </w:rPr>
        <w:t xml:space="preserve"> of the area covered with structural </w:t>
      </w:r>
      <w:r w:rsidR="00673765">
        <w:rPr>
          <w:rFonts w:cs="Arial"/>
          <w:noProof w:val="0"/>
          <w:color w:val="auto"/>
          <w:lang w:val="en-GB"/>
        </w:rPr>
        <w:t>facilities</w:t>
      </w:r>
      <w:r w:rsidR="004F0C0F">
        <w:rPr>
          <w:rFonts w:cs="Arial"/>
          <w:noProof w:val="0"/>
          <w:color w:val="auto"/>
          <w:lang w:val="en-GB"/>
        </w:rPr>
        <w:t>, compared t</w:t>
      </w:r>
      <w:r w:rsidRPr="00D45DD3">
        <w:rPr>
          <w:rFonts w:cs="Arial"/>
          <w:noProof w:val="0"/>
          <w:color w:val="auto"/>
          <w:lang w:val="en-GB"/>
        </w:rPr>
        <w:t xml:space="preserve">o the </w:t>
      </w:r>
      <w:r w:rsidR="00673765">
        <w:rPr>
          <w:rFonts w:cs="Arial"/>
          <w:noProof w:val="0"/>
          <w:color w:val="auto"/>
          <w:lang w:val="en-GB"/>
        </w:rPr>
        <w:t xml:space="preserve">size of the </w:t>
      </w:r>
      <w:r w:rsidRPr="00D45DD3">
        <w:rPr>
          <w:rFonts w:cs="Arial"/>
          <w:noProof w:val="0"/>
          <w:color w:val="auto"/>
          <w:lang w:val="en-GB"/>
        </w:rPr>
        <w:t xml:space="preserve">lot (cf. §19, </w:t>
      </w:r>
      <w:r w:rsidR="00025148" w:rsidRPr="00D45DD3">
        <w:rPr>
          <w:rFonts w:cs="Arial"/>
          <w:noProof w:val="0"/>
          <w:color w:val="auto"/>
          <w:lang w:val="en-GB"/>
        </w:rPr>
        <w:t>Sec.</w:t>
      </w:r>
      <w:r w:rsidRPr="00D45DD3">
        <w:rPr>
          <w:rFonts w:cs="Arial"/>
          <w:noProof w:val="0"/>
          <w:color w:val="auto"/>
          <w:lang w:val="en-GB"/>
        </w:rPr>
        <w:t xml:space="preserve"> 1 BauNVO).</w:t>
      </w:r>
    </w:p>
    <w:p w:rsidR="003325AE" w:rsidRPr="00D45DD3" w:rsidRDefault="00865666" w:rsidP="00D12437">
      <w:pPr>
        <w:widowControl w:val="0"/>
        <w:jc w:val="left"/>
        <w:rPr>
          <w:rFonts w:cs="Arial"/>
          <w:noProof w:val="0"/>
          <w:color w:val="auto"/>
          <w:lang w:val="en-GB"/>
        </w:rPr>
      </w:pPr>
      <w:r w:rsidRPr="00D45DD3">
        <w:rPr>
          <w:rFonts w:cs="Arial"/>
          <w:noProof w:val="0"/>
          <w:color w:val="auto"/>
          <w:lang w:val="en-GB"/>
        </w:rPr>
        <w:t xml:space="preserve">The </w:t>
      </w:r>
      <w:r w:rsidR="00025148" w:rsidRPr="00D45DD3">
        <w:rPr>
          <w:rFonts w:cs="Arial"/>
          <w:b/>
          <w:noProof w:val="0"/>
          <w:color w:val="auto"/>
          <w:lang w:val="en-GB"/>
        </w:rPr>
        <w:t>floor space index</w:t>
      </w:r>
      <w:r w:rsidRPr="00D45DD3">
        <w:rPr>
          <w:rFonts w:cs="Arial"/>
          <w:b/>
          <w:noProof w:val="0"/>
          <w:color w:val="auto"/>
          <w:lang w:val="en-GB"/>
        </w:rPr>
        <w:t xml:space="preserve"> (</w:t>
      </w:r>
      <w:r w:rsidR="005F06D0" w:rsidRPr="00D45DD3">
        <w:rPr>
          <w:rFonts w:cs="Arial"/>
          <w:b/>
          <w:noProof w:val="0"/>
          <w:color w:val="auto"/>
          <w:lang w:val="en-GB"/>
        </w:rPr>
        <w:t>FSI</w:t>
      </w:r>
      <w:r w:rsidRPr="00D45DD3">
        <w:rPr>
          <w:rFonts w:cs="Arial"/>
          <w:b/>
          <w:noProof w:val="0"/>
          <w:color w:val="auto"/>
          <w:lang w:val="en-GB"/>
        </w:rPr>
        <w:t>)</w:t>
      </w:r>
      <w:r w:rsidRPr="00D45DD3">
        <w:rPr>
          <w:rFonts w:cs="Arial"/>
          <w:noProof w:val="0"/>
          <w:color w:val="auto"/>
          <w:lang w:val="en-GB"/>
        </w:rPr>
        <w:t xml:space="preserve"> is a </w:t>
      </w:r>
      <w:r w:rsidR="00673765">
        <w:rPr>
          <w:rFonts w:cs="Arial"/>
          <w:noProof w:val="0"/>
          <w:color w:val="auto"/>
          <w:lang w:val="en-GB"/>
        </w:rPr>
        <w:t>parameter</w:t>
      </w:r>
      <w:r w:rsidRPr="00D45DD3">
        <w:rPr>
          <w:rFonts w:cs="Arial"/>
          <w:noProof w:val="0"/>
          <w:color w:val="auto"/>
          <w:lang w:val="en-GB"/>
        </w:rPr>
        <w:t xml:space="preserve"> which </w:t>
      </w:r>
      <w:r w:rsidR="00673765">
        <w:rPr>
          <w:rFonts w:cs="Arial"/>
          <w:noProof w:val="0"/>
          <w:color w:val="auto"/>
          <w:lang w:val="en-GB"/>
        </w:rPr>
        <w:t>describes</w:t>
      </w:r>
      <w:r w:rsidRPr="00D45DD3">
        <w:rPr>
          <w:rFonts w:cs="Arial"/>
          <w:noProof w:val="0"/>
          <w:color w:val="auto"/>
          <w:lang w:val="en-GB"/>
        </w:rPr>
        <w:t xml:space="preserve"> the intensity of use of an area.</w:t>
      </w:r>
      <w:r w:rsidR="003325AE" w:rsidRPr="00D45DD3">
        <w:rPr>
          <w:rFonts w:cs="Arial"/>
          <w:noProof w:val="0"/>
          <w:color w:val="auto"/>
          <w:lang w:val="en-GB"/>
        </w:rPr>
        <w:t xml:space="preserve"> </w:t>
      </w:r>
      <w:r w:rsidRPr="00D45DD3">
        <w:rPr>
          <w:rFonts w:cs="Arial"/>
          <w:noProof w:val="0"/>
          <w:color w:val="auto"/>
          <w:lang w:val="en-GB"/>
        </w:rPr>
        <w:t xml:space="preserve">It </w:t>
      </w:r>
      <w:r w:rsidR="004F0C0F">
        <w:rPr>
          <w:rFonts w:cs="Arial"/>
          <w:noProof w:val="0"/>
          <w:color w:val="auto"/>
          <w:lang w:val="en-GB"/>
        </w:rPr>
        <w:t>states</w:t>
      </w:r>
      <w:r w:rsidRPr="00D45DD3">
        <w:rPr>
          <w:rFonts w:cs="Arial"/>
          <w:noProof w:val="0"/>
          <w:color w:val="auto"/>
          <w:lang w:val="en-GB"/>
        </w:rPr>
        <w:t xml:space="preserve"> how many square metres of floor </w:t>
      </w:r>
      <w:r w:rsidR="00673765">
        <w:rPr>
          <w:rFonts w:cs="Arial"/>
          <w:noProof w:val="0"/>
          <w:color w:val="auto"/>
          <w:lang w:val="en-GB"/>
        </w:rPr>
        <w:t>space</w:t>
      </w:r>
      <w:r w:rsidRPr="00D45DD3">
        <w:rPr>
          <w:rFonts w:cs="Arial"/>
          <w:noProof w:val="0"/>
          <w:color w:val="auto"/>
          <w:lang w:val="en-GB"/>
        </w:rPr>
        <w:t xml:space="preserve"> </w:t>
      </w:r>
      <w:r w:rsidR="00673765" w:rsidRPr="00D45DD3">
        <w:rPr>
          <w:rFonts w:cs="Arial"/>
          <w:noProof w:val="0"/>
          <w:color w:val="auto"/>
          <w:lang w:val="en-GB"/>
        </w:rPr>
        <w:t xml:space="preserve">are </w:t>
      </w:r>
      <w:r w:rsidR="00673765">
        <w:rPr>
          <w:rFonts w:cs="Arial"/>
          <w:noProof w:val="0"/>
          <w:color w:val="auto"/>
          <w:lang w:val="en-GB"/>
        </w:rPr>
        <w:t>available</w:t>
      </w:r>
      <w:r w:rsidR="00673765" w:rsidRPr="00D45DD3">
        <w:rPr>
          <w:rFonts w:cs="Arial"/>
          <w:noProof w:val="0"/>
          <w:color w:val="auto"/>
          <w:lang w:val="en-GB"/>
        </w:rPr>
        <w:t xml:space="preserve"> </w:t>
      </w:r>
      <w:r w:rsidRPr="00D45DD3">
        <w:rPr>
          <w:rFonts w:cs="Arial"/>
          <w:noProof w:val="0"/>
          <w:color w:val="auto"/>
          <w:lang w:val="en-GB"/>
        </w:rPr>
        <w:t>per square metre of property area</w:t>
      </w:r>
      <w:r w:rsidR="00673765">
        <w:rPr>
          <w:rFonts w:cs="Arial"/>
          <w:noProof w:val="0"/>
          <w:color w:val="auto"/>
          <w:lang w:val="en-GB"/>
        </w:rPr>
        <w:t>,</w:t>
      </w:r>
      <w:r w:rsidRPr="00D45DD3">
        <w:rPr>
          <w:rFonts w:cs="Arial"/>
          <w:noProof w:val="0"/>
          <w:color w:val="auto"/>
          <w:lang w:val="en-GB"/>
        </w:rPr>
        <w:t xml:space="preserve"> and </w:t>
      </w:r>
      <w:r w:rsidR="00673765">
        <w:rPr>
          <w:rFonts w:cs="Arial"/>
          <w:noProof w:val="0"/>
          <w:color w:val="auto"/>
          <w:lang w:val="en-GB"/>
        </w:rPr>
        <w:t>is calculated according to</w:t>
      </w:r>
      <w:r w:rsidRPr="00D45DD3">
        <w:rPr>
          <w:rFonts w:cs="Arial"/>
          <w:noProof w:val="0"/>
          <w:color w:val="auto"/>
          <w:lang w:val="en-GB"/>
        </w:rPr>
        <w:t xml:space="preserve"> the out</w:t>
      </w:r>
      <w:r w:rsidR="00673765">
        <w:rPr>
          <w:rFonts w:cs="Arial"/>
          <w:noProof w:val="0"/>
          <w:color w:val="auto"/>
          <w:lang w:val="en-GB"/>
        </w:rPr>
        <w:t>er</w:t>
      </w:r>
      <w:r w:rsidRPr="00D45DD3">
        <w:rPr>
          <w:rFonts w:cs="Arial"/>
          <w:noProof w:val="0"/>
          <w:color w:val="auto"/>
          <w:lang w:val="en-GB"/>
        </w:rPr>
        <w:t xml:space="preserve"> measurements of all full </w:t>
      </w:r>
      <w:r w:rsidR="00673765">
        <w:rPr>
          <w:rFonts w:cs="Arial"/>
          <w:noProof w:val="0"/>
          <w:color w:val="auto"/>
          <w:lang w:val="en-GB"/>
        </w:rPr>
        <w:t>storeys</w:t>
      </w:r>
      <w:r w:rsidRPr="00D45DD3">
        <w:rPr>
          <w:rFonts w:cs="Arial"/>
          <w:noProof w:val="0"/>
          <w:color w:val="auto"/>
          <w:lang w:val="en-GB"/>
        </w:rPr>
        <w:t xml:space="preserve"> of the buildings (cf. §20, </w:t>
      </w:r>
      <w:r w:rsidR="00025148" w:rsidRPr="00D45DD3">
        <w:rPr>
          <w:rFonts w:cs="Arial"/>
          <w:noProof w:val="0"/>
          <w:color w:val="auto"/>
          <w:lang w:val="en-GB"/>
        </w:rPr>
        <w:t>Sec</w:t>
      </w:r>
      <w:r w:rsidRPr="00D45DD3">
        <w:rPr>
          <w:rFonts w:cs="Arial"/>
          <w:noProof w:val="0"/>
          <w:color w:val="auto"/>
          <w:lang w:val="en-GB"/>
        </w:rPr>
        <w:t xml:space="preserve">. 2 </w:t>
      </w:r>
      <w:r w:rsidR="00673765">
        <w:rPr>
          <w:rFonts w:cs="Arial"/>
          <w:noProof w:val="0"/>
          <w:color w:val="auto"/>
          <w:lang w:val="en-GB"/>
        </w:rPr>
        <w:t>&amp;</w:t>
      </w:r>
      <w:r w:rsidRPr="00D45DD3">
        <w:rPr>
          <w:rFonts w:cs="Arial"/>
          <w:noProof w:val="0"/>
          <w:color w:val="auto"/>
          <w:lang w:val="en-GB"/>
        </w:rPr>
        <w:t xml:space="preserve"> 3 BauNVO).</w:t>
      </w:r>
    </w:p>
    <w:p w:rsidR="003325AE" w:rsidRPr="00D45DD3" w:rsidRDefault="004B293D" w:rsidP="00D12437">
      <w:pPr>
        <w:pStyle w:val="StandardWeb"/>
        <w:spacing w:before="0" w:beforeAutospacing="0" w:after="120" w:afterAutospacing="0"/>
        <w:rPr>
          <w:rFonts w:ascii="Arial" w:hAnsi="Arial" w:cs="Arial"/>
          <w:sz w:val="20"/>
          <w:szCs w:val="20"/>
          <w:lang w:val="en-GB"/>
        </w:rPr>
      </w:pPr>
      <w:r w:rsidRPr="00D45DD3">
        <w:rPr>
          <w:rFonts w:ascii="Arial" w:hAnsi="Arial" w:cs="Arial"/>
          <w:sz w:val="20"/>
          <w:szCs w:val="20"/>
          <w:lang w:val="en-GB"/>
        </w:rPr>
        <w:t xml:space="preserve">The maps </w:t>
      </w:r>
      <w:r>
        <w:rPr>
          <w:rFonts w:ascii="Arial" w:hAnsi="Arial" w:cs="Arial"/>
          <w:sz w:val="20"/>
          <w:szCs w:val="20"/>
          <w:lang w:val="en-GB"/>
        </w:rPr>
        <w:t>are o</w:t>
      </w:r>
      <w:r w:rsidR="009B6075">
        <w:rPr>
          <w:rFonts w:ascii="Arial" w:hAnsi="Arial" w:cs="Arial"/>
          <w:sz w:val="20"/>
          <w:szCs w:val="20"/>
          <w:lang w:val="en-GB"/>
        </w:rPr>
        <w:t>riented towards</w:t>
      </w:r>
      <w:r w:rsidR="00865666" w:rsidRPr="00D45DD3">
        <w:rPr>
          <w:rFonts w:ascii="Arial" w:hAnsi="Arial" w:cs="Arial"/>
          <w:sz w:val="20"/>
          <w:szCs w:val="20"/>
          <w:lang w:val="en-GB"/>
        </w:rPr>
        <w:t xml:space="preserve"> the definitions of the </w:t>
      </w:r>
      <w:r w:rsidR="009B6075" w:rsidRPr="00D45DD3">
        <w:rPr>
          <w:rFonts w:ascii="Arial" w:hAnsi="Arial" w:cs="Arial"/>
          <w:sz w:val="20"/>
          <w:szCs w:val="20"/>
          <w:lang w:val="en-GB"/>
        </w:rPr>
        <w:t xml:space="preserve">Construction </w:t>
      </w:r>
      <w:r w:rsidR="009B6075">
        <w:rPr>
          <w:rFonts w:ascii="Arial" w:hAnsi="Arial" w:cs="Arial"/>
          <w:sz w:val="20"/>
          <w:szCs w:val="20"/>
          <w:lang w:val="en-GB"/>
        </w:rPr>
        <w:t>Utilisation</w:t>
      </w:r>
      <w:r w:rsidR="009B6075" w:rsidRPr="00D45DD3">
        <w:rPr>
          <w:rFonts w:ascii="Arial" w:hAnsi="Arial" w:cs="Arial"/>
          <w:sz w:val="20"/>
          <w:szCs w:val="20"/>
          <w:lang w:val="en-GB"/>
        </w:rPr>
        <w:t xml:space="preserve"> Ordinance</w:t>
      </w:r>
      <w:r w:rsidR="009B6075">
        <w:rPr>
          <w:rFonts w:ascii="Arial" w:hAnsi="Arial" w:cs="Arial"/>
          <w:sz w:val="20"/>
          <w:szCs w:val="20"/>
          <w:lang w:val="en-GB"/>
        </w:rPr>
        <w:t>,</w:t>
      </w:r>
      <w:r w:rsidR="009B6075" w:rsidRPr="00D45DD3">
        <w:rPr>
          <w:rFonts w:ascii="Arial" w:hAnsi="Arial" w:cs="Arial"/>
          <w:sz w:val="20"/>
          <w:szCs w:val="20"/>
          <w:lang w:val="en-GB"/>
        </w:rPr>
        <w:t xml:space="preserve"> </w:t>
      </w:r>
      <w:r>
        <w:rPr>
          <w:rFonts w:ascii="Arial" w:hAnsi="Arial" w:cs="Arial"/>
          <w:sz w:val="20"/>
          <w:szCs w:val="20"/>
          <w:lang w:val="en-GB"/>
        </w:rPr>
        <w:t xml:space="preserve">and </w:t>
      </w:r>
      <w:r w:rsidR="00865666" w:rsidRPr="00D45DD3">
        <w:rPr>
          <w:rFonts w:ascii="Arial" w:hAnsi="Arial" w:cs="Arial"/>
          <w:sz w:val="20"/>
          <w:szCs w:val="20"/>
          <w:lang w:val="en-GB"/>
        </w:rPr>
        <w:t xml:space="preserve">show the </w:t>
      </w:r>
      <w:r w:rsidR="009B6075">
        <w:rPr>
          <w:rFonts w:ascii="Arial" w:hAnsi="Arial" w:cs="Arial"/>
          <w:sz w:val="20"/>
          <w:szCs w:val="20"/>
          <w:lang w:val="en-GB"/>
        </w:rPr>
        <w:t xml:space="preserve">key </w:t>
      </w:r>
      <w:r w:rsidR="00865666" w:rsidRPr="00D45DD3">
        <w:rPr>
          <w:rFonts w:ascii="Arial" w:hAnsi="Arial" w:cs="Arial"/>
          <w:sz w:val="20"/>
          <w:szCs w:val="20"/>
          <w:lang w:val="en-GB"/>
        </w:rPr>
        <w:t xml:space="preserve">values of urban </w:t>
      </w:r>
      <w:r w:rsidR="00673765">
        <w:rPr>
          <w:rFonts w:ascii="Arial" w:hAnsi="Arial" w:cs="Arial"/>
          <w:sz w:val="20"/>
          <w:szCs w:val="20"/>
          <w:lang w:val="en-GB"/>
        </w:rPr>
        <w:t>structural density</w:t>
      </w:r>
      <w:r w:rsidR="00865666" w:rsidRPr="00D45DD3">
        <w:rPr>
          <w:rFonts w:ascii="Arial" w:hAnsi="Arial" w:cs="Arial"/>
          <w:sz w:val="20"/>
          <w:szCs w:val="20"/>
          <w:lang w:val="en-GB"/>
        </w:rPr>
        <w:t xml:space="preserve"> at the level of </w:t>
      </w:r>
      <w:r w:rsidR="009B6075">
        <w:rPr>
          <w:rFonts w:ascii="Arial" w:hAnsi="Arial" w:cs="Arial"/>
          <w:sz w:val="20"/>
          <w:szCs w:val="20"/>
          <w:lang w:val="en-GB"/>
        </w:rPr>
        <w:t>single</w:t>
      </w:r>
      <w:r w:rsidR="00865666" w:rsidRPr="00D45DD3">
        <w:rPr>
          <w:rFonts w:ascii="Arial" w:hAnsi="Arial" w:cs="Arial"/>
          <w:sz w:val="20"/>
          <w:szCs w:val="20"/>
          <w:lang w:val="en-GB"/>
        </w:rPr>
        <w:t xml:space="preserve"> </w:t>
      </w:r>
      <w:r w:rsidR="00865666" w:rsidRPr="00D45DD3">
        <w:rPr>
          <w:rFonts w:ascii="Arial" w:hAnsi="Arial" w:cs="Arial"/>
          <w:b/>
          <w:sz w:val="20"/>
          <w:szCs w:val="20"/>
          <w:lang w:val="en-GB"/>
        </w:rPr>
        <w:t>blocks</w:t>
      </w:r>
      <w:r w:rsidR="009B6075">
        <w:rPr>
          <w:rFonts w:ascii="Arial" w:hAnsi="Arial" w:cs="Arial"/>
          <w:b/>
          <w:sz w:val="20"/>
          <w:szCs w:val="20"/>
          <w:lang w:val="en-GB"/>
        </w:rPr>
        <w:t>,</w:t>
      </w:r>
      <w:r w:rsidR="00865666" w:rsidRPr="00D45DD3">
        <w:rPr>
          <w:rFonts w:ascii="Arial" w:hAnsi="Arial" w:cs="Arial"/>
          <w:sz w:val="20"/>
          <w:szCs w:val="20"/>
          <w:lang w:val="en-GB"/>
        </w:rPr>
        <w:t xml:space="preserve"> since </w:t>
      </w:r>
      <w:r w:rsidR="009B6075" w:rsidRPr="00D45DD3">
        <w:rPr>
          <w:rFonts w:ascii="Arial" w:hAnsi="Arial" w:cs="Arial"/>
          <w:sz w:val="20"/>
          <w:szCs w:val="20"/>
          <w:lang w:val="en-GB"/>
        </w:rPr>
        <w:t xml:space="preserve">representation </w:t>
      </w:r>
      <w:r w:rsidR="00865666" w:rsidRPr="00D45DD3">
        <w:rPr>
          <w:rFonts w:ascii="Arial" w:hAnsi="Arial" w:cs="Arial"/>
          <w:sz w:val="20"/>
          <w:szCs w:val="20"/>
          <w:lang w:val="en-GB"/>
        </w:rPr>
        <w:t>a</w:t>
      </w:r>
      <w:r w:rsidR="009B6075">
        <w:rPr>
          <w:rFonts w:ascii="Arial" w:hAnsi="Arial" w:cs="Arial"/>
          <w:sz w:val="20"/>
          <w:szCs w:val="20"/>
          <w:lang w:val="en-GB"/>
        </w:rPr>
        <w:t>t the level of lots would</w:t>
      </w:r>
      <w:r w:rsidR="0012119C" w:rsidRPr="00D45DD3">
        <w:rPr>
          <w:rFonts w:ascii="Arial" w:hAnsi="Arial" w:cs="Arial"/>
          <w:sz w:val="20"/>
          <w:szCs w:val="20"/>
          <w:lang w:val="en-GB"/>
        </w:rPr>
        <w:t xml:space="preserve"> not</w:t>
      </w:r>
      <w:r w:rsidR="00865666" w:rsidRPr="00D45DD3">
        <w:rPr>
          <w:rFonts w:ascii="Arial" w:hAnsi="Arial" w:cs="Arial"/>
          <w:sz w:val="20"/>
          <w:szCs w:val="20"/>
          <w:lang w:val="en-GB"/>
        </w:rPr>
        <w:t xml:space="preserve"> </w:t>
      </w:r>
      <w:r w:rsidR="009B6075">
        <w:rPr>
          <w:rFonts w:ascii="Arial" w:hAnsi="Arial" w:cs="Arial"/>
          <w:sz w:val="20"/>
          <w:szCs w:val="20"/>
          <w:lang w:val="en-GB"/>
        </w:rPr>
        <w:t xml:space="preserve">be </w:t>
      </w:r>
      <w:r w:rsidR="00865666" w:rsidRPr="00D45DD3">
        <w:rPr>
          <w:rFonts w:ascii="Arial" w:hAnsi="Arial" w:cs="Arial"/>
          <w:sz w:val="20"/>
          <w:szCs w:val="20"/>
          <w:lang w:val="en-GB"/>
        </w:rPr>
        <w:t>suitable for a</w:t>
      </w:r>
      <w:r w:rsidR="00865666" w:rsidRPr="004B293D">
        <w:rPr>
          <w:rFonts w:ascii="Arial" w:hAnsi="Arial" w:cs="Arial"/>
          <w:color w:val="FF0000"/>
          <w:sz w:val="20"/>
          <w:szCs w:val="20"/>
          <w:lang w:val="en-GB"/>
        </w:rPr>
        <w:t xml:space="preserve"> </w:t>
      </w:r>
      <w:r w:rsidR="00865666" w:rsidRPr="00D45DD3">
        <w:rPr>
          <w:rFonts w:ascii="Arial" w:hAnsi="Arial" w:cs="Arial"/>
          <w:sz w:val="20"/>
          <w:szCs w:val="20"/>
          <w:lang w:val="en-GB"/>
        </w:rPr>
        <w:t>general map.</w:t>
      </w:r>
      <w:r w:rsidR="003325AE" w:rsidRPr="00D45DD3">
        <w:rPr>
          <w:rFonts w:ascii="Arial" w:hAnsi="Arial" w:cs="Arial"/>
          <w:sz w:val="20"/>
          <w:szCs w:val="20"/>
          <w:lang w:val="en-GB"/>
        </w:rPr>
        <w:t xml:space="preserve"> </w:t>
      </w:r>
      <w:r w:rsidR="009B6075">
        <w:rPr>
          <w:rFonts w:ascii="Arial" w:hAnsi="Arial" w:cs="Arial"/>
          <w:sz w:val="20"/>
          <w:szCs w:val="20"/>
          <w:lang w:val="en-GB"/>
        </w:rPr>
        <w:t>For</w:t>
      </w:r>
      <w:r w:rsidR="00865666" w:rsidRPr="00D45DD3">
        <w:rPr>
          <w:rFonts w:ascii="Arial" w:hAnsi="Arial" w:cs="Arial"/>
          <w:sz w:val="20"/>
          <w:szCs w:val="20"/>
          <w:lang w:val="en-GB"/>
        </w:rPr>
        <w:t xml:space="preserve"> the </w:t>
      </w:r>
      <w:r w:rsidR="009B6075">
        <w:rPr>
          <w:rFonts w:ascii="Arial" w:hAnsi="Arial" w:cs="Arial"/>
          <w:sz w:val="20"/>
          <w:szCs w:val="20"/>
          <w:lang w:val="en-GB"/>
        </w:rPr>
        <w:t>present investig</w:t>
      </w:r>
      <w:r w:rsidR="00865666" w:rsidRPr="00D45DD3">
        <w:rPr>
          <w:rFonts w:ascii="Arial" w:hAnsi="Arial" w:cs="Arial"/>
          <w:sz w:val="20"/>
          <w:szCs w:val="20"/>
          <w:lang w:val="en-GB"/>
        </w:rPr>
        <w:t>ation</w:t>
      </w:r>
      <w:r w:rsidR="009B6075">
        <w:rPr>
          <w:rFonts w:ascii="Arial" w:hAnsi="Arial" w:cs="Arial"/>
          <w:sz w:val="20"/>
          <w:szCs w:val="20"/>
          <w:lang w:val="en-GB"/>
        </w:rPr>
        <w:t xml:space="preserve">, </w:t>
      </w:r>
      <w:r w:rsidR="00865666" w:rsidRPr="00D45DD3">
        <w:rPr>
          <w:rFonts w:ascii="Arial" w:hAnsi="Arial" w:cs="Arial"/>
          <w:sz w:val="20"/>
          <w:szCs w:val="20"/>
          <w:lang w:val="en-GB"/>
        </w:rPr>
        <w:t xml:space="preserve">the </w:t>
      </w:r>
      <w:r w:rsidR="009B6075" w:rsidRPr="009B6075">
        <w:rPr>
          <w:rFonts w:ascii="Arial" w:hAnsi="Arial" w:cs="Arial"/>
          <w:b/>
          <w:sz w:val="20"/>
          <w:szCs w:val="20"/>
          <w:lang w:val="en-GB"/>
        </w:rPr>
        <w:t>actually existing inventory</w:t>
      </w:r>
      <w:r w:rsidR="009B6075">
        <w:rPr>
          <w:rFonts w:ascii="Arial" w:hAnsi="Arial" w:cs="Arial"/>
          <w:sz w:val="20"/>
          <w:szCs w:val="20"/>
          <w:lang w:val="en-GB"/>
        </w:rPr>
        <w:t xml:space="preserve"> for</w:t>
      </w:r>
      <w:r w:rsidR="00865666" w:rsidRPr="009B6075">
        <w:rPr>
          <w:rFonts w:ascii="Arial" w:hAnsi="Arial" w:cs="Arial"/>
          <w:sz w:val="20"/>
          <w:szCs w:val="20"/>
          <w:lang w:val="en-GB"/>
        </w:rPr>
        <w:t xml:space="preserve"> these two planning </w:t>
      </w:r>
      <w:r w:rsidR="009B6075">
        <w:rPr>
          <w:rFonts w:ascii="Arial" w:hAnsi="Arial" w:cs="Arial"/>
          <w:sz w:val="20"/>
          <w:szCs w:val="20"/>
          <w:lang w:val="en-GB"/>
        </w:rPr>
        <w:t>parameters</w:t>
      </w:r>
      <w:r w:rsidR="00865666" w:rsidRPr="009B6075">
        <w:rPr>
          <w:rFonts w:ascii="Arial" w:hAnsi="Arial" w:cs="Arial"/>
          <w:sz w:val="20"/>
          <w:szCs w:val="20"/>
          <w:lang w:val="en-GB"/>
        </w:rPr>
        <w:t xml:space="preserve"> was </w:t>
      </w:r>
      <w:r w:rsidR="009B6075">
        <w:rPr>
          <w:rFonts w:ascii="Arial" w:hAnsi="Arial" w:cs="Arial"/>
          <w:sz w:val="20"/>
          <w:szCs w:val="20"/>
          <w:lang w:val="en-GB"/>
        </w:rPr>
        <w:t>ascertained,</w:t>
      </w:r>
      <w:r w:rsidR="00865666" w:rsidRPr="009B6075">
        <w:rPr>
          <w:rFonts w:ascii="Arial" w:hAnsi="Arial" w:cs="Arial"/>
          <w:sz w:val="20"/>
          <w:szCs w:val="20"/>
          <w:lang w:val="en-GB"/>
        </w:rPr>
        <w:t xml:space="preserve"> and th</w:t>
      </w:r>
      <w:r w:rsidR="009B6075">
        <w:rPr>
          <w:rFonts w:ascii="Arial" w:hAnsi="Arial" w:cs="Arial"/>
          <w:sz w:val="20"/>
          <w:szCs w:val="20"/>
          <w:lang w:val="en-GB"/>
        </w:rPr>
        <w:t xml:space="preserve">us </w:t>
      </w:r>
      <w:r w:rsidR="00865666" w:rsidRPr="009B6075">
        <w:rPr>
          <w:rFonts w:ascii="Arial" w:hAnsi="Arial" w:cs="Arial"/>
          <w:sz w:val="20"/>
          <w:szCs w:val="20"/>
          <w:lang w:val="en-GB"/>
        </w:rPr>
        <w:t xml:space="preserve">shows the </w:t>
      </w:r>
      <w:r w:rsidR="009B6075">
        <w:rPr>
          <w:rFonts w:ascii="Arial" w:hAnsi="Arial" w:cs="Arial"/>
          <w:sz w:val="20"/>
          <w:szCs w:val="20"/>
          <w:lang w:val="en-GB"/>
        </w:rPr>
        <w:t xml:space="preserve">existing </w:t>
      </w:r>
      <w:r w:rsidR="00865666" w:rsidRPr="009B6075">
        <w:rPr>
          <w:rFonts w:ascii="Arial" w:hAnsi="Arial" w:cs="Arial"/>
          <w:sz w:val="20"/>
          <w:szCs w:val="20"/>
          <w:lang w:val="en-GB"/>
        </w:rPr>
        <w:t>inten</w:t>
      </w:r>
      <w:r w:rsidR="00865666" w:rsidRPr="00D45DD3">
        <w:rPr>
          <w:rFonts w:ascii="Arial" w:hAnsi="Arial" w:cs="Arial"/>
          <w:sz w:val="20"/>
          <w:szCs w:val="20"/>
          <w:lang w:val="en-GB"/>
        </w:rPr>
        <w:t xml:space="preserve">sity of </w:t>
      </w:r>
      <w:r w:rsidR="009B6075" w:rsidRPr="009B6075">
        <w:rPr>
          <w:rFonts w:ascii="Arial" w:hAnsi="Arial" w:cs="Arial"/>
          <w:sz w:val="20"/>
          <w:szCs w:val="20"/>
          <w:lang w:val="en-GB"/>
        </w:rPr>
        <w:t xml:space="preserve">use </w:t>
      </w:r>
      <w:r w:rsidR="009B6075">
        <w:rPr>
          <w:rFonts w:ascii="Arial" w:hAnsi="Arial" w:cs="Arial"/>
          <w:sz w:val="20"/>
          <w:szCs w:val="20"/>
          <w:lang w:val="en-GB"/>
        </w:rPr>
        <w:t xml:space="preserve">for </w:t>
      </w:r>
      <w:r w:rsidR="00865666" w:rsidRPr="00D45DD3">
        <w:rPr>
          <w:rFonts w:ascii="Arial" w:hAnsi="Arial" w:cs="Arial"/>
          <w:sz w:val="20"/>
          <w:szCs w:val="20"/>
          <w:lang w:val="en-GB"/>
        </w:rPr>
        <w:t xml:space="preserve">all </w:t>
      </w:r>
      <w:r w:rsidR="009B6075" w:rsidRPr="00D45DD3">
        <w:rPr>
          <w:rFonts w:ascii="Arial" w:hAnsi="Arial" w:cs="Arial"/>
          <w:sz w:val="20"/>
          <w:szCs w:val="20"/>
          <w:lang w:val="en-GB"/>
        </w:rPr>
        <w:t>built</w:t>
      </w:r>
      <w:r w:rsidR="009B6075">
        <w:rPr>
          <w:rFonts w:ascii="Arial" w:hAnsi="Arial" w:cs="Arial"/>
          <w:sz w:val="20"/>
          <w:szCs w:val="20"/>
          <w:lang w:val="en-GB"/>
        </w:rPr>
        <w:t>-up</w:t>
      </w:r>
      <w:r w:rsidR="009B6075" w:rsidRPr="00D45DD3">
        <w:rPr>
          <w:rFonts w:ascii="Arial" w:hAnsi="Arial" w:cs="Arial"/>
          <w:sz w:val="20"/>
          <w:szCs w:val="20"/>
          <w:lang w:val="en-GB"/>
        </w:rPr>
        <w:t xml:space="preserve"> </w:t>
      </w:r>
      <w:r w:rsidR="00865666" w:rsidRPr="00D45DD3">
        <w:rPr>
          <w:rFonts w:ascii="Arial" w:hAnsi="Arial" w:cs="Arial"/>
          <w:sz w:val="20"/>
          <w:szCs w:val="20"/>
          <w:lang w:val="en-GB"/>
        </w:rPr>
        <w:t xml:space="preserve">areas </w:t>
      </w:r>
      <w:r w:rsidR="009B6075">
        <w:rPr>
          <w:rFonts w:ascii="Arial" w:hAnsi="Arial" w:cs="Arial"/>
          <w:sz w:val="20"/>
          <w:szCs w:val="20"/>
          <w:lang w:val="en-GB"/>
        </w:rPr>
        <w:t xml:space="preserve">containing </w:t>
      </w:r>
      <w:r w:rsidR="00865666" w:rsidRPr="00D45DD3">
        <w:rPr>
          <w:rFonts w:ascii="Arial" w:hAnsi="Arial" w:cs="Arial"/>
          <w:sz w:val="20"/>
          <w:szCs w:val="20"/>
          <w:lang w:val="en-GB"/>
        </w:rPr>
        <w:t>buildings.</w:t>
      </w:r>
    </w:p>
    <w:p w:rsidR="003325AE" w:rsidRPr="00D45DD3" w:rsidRDefault="00865666" w:rsidP="00D12437">
      <w:pPr>
        <w:widowControl w:val="0"/>
        <w:jc w:val="left"/>
        <w:rPr>
          <w:rFonts w:cs="Arial"/>
          <w:color w:val="auto"/>
          <w:lang w:val="en-GB"/>
        </w:rPr>
      </w:pPr>
      <w:r w:rsidRPr="00D45DD3">
        <w:rPr>
          <w:rFonts w:cs="Arial"/>
          <w:color w:val="auto"/>
          <w:lang w:val="en-GB"/>
        </w:rPr>
        <w:t xml:space="preserve">The </w:t>
      </w:r>
      <w:r w:rsidR="00025148" w:rsidRPr="00D45DD3">
        <w:rPr>
          <w:rFonts w:cs="Arial"/>
          <w:color w:val="auto"/>
          <w:lang w:val="en-GB"/>
        </w:rPr>
        <w:t>maps</w:t>
      </w:r>
      <w:r w:rsidRPr="00D45DD3">
        <w:rPr>
          <w:rFonts w:cs="Arial"/>
          <w:color w:val="auto"/>
          <w:lang w:val="en-GB"/>
        </w:rPr>
        <w:t xml:space="preserve"> </w:t>
      </w:r>
      <w:r w:rsidR="009B6075">
        <w:rPr>
          <w:rFonts w:cs="Arial"/>
          <w:color w:val="auto"/>
          <w:lang w:val="en-GB"/>
        </w:rPr>
        <w:t>are</w:t>
      </w:r>
      <w:r w:rsidR="002D391E">
        <w:rPr>
          <w:rFonts w:cs="Arial"/>
          <w:color w:val="auto"/>
          <w:lang w:val="en-GB"/>
        </w:rPr>
        <w:t xml:space="preserve"> designed</w:t>
      </w:r>
      <w:r w:rsidR="009B6075">
        <w:rPr>
          <w:rFonts w:cs="Arial"/>
          <w:color w:val="auto"/>
          <w:lang w:val="en-GB"/>
        </w:rPr>
        <w:t xml:space="preserve"> to permit</w:t>
      </w:r>
      <w:r w:rsidRPr="00D45DD3">
        <w:rPr>
          <w:rFonts w:cs="Arial"/>
          <w:color w:val="auto"/>
          <w:lang w:val="en-GB"/>
        </w:rPr>
        <w:t xml:space="preserve"> a comparison of the </w:t>
      </w:r>
      <w:r w:rsidR="009B6075">
        <w:rPr>
          <w:rFonts w:cs="Arial"/>
          <w:color w:val="auto"/>
          <w:lang w:val="en-GB"/>
        </w:rPr>
        <w:t>utilisation of built-up</w:t>
      </w:r>
      <w:r w:rsidRPr="00D45DD3">
        <w:rPr>
          <w:rFonts w:cs="Arial"/>
          <w:color w:val="auto"/>
          <w:lang w:val="en-GB"/>
        </w:rPr>
        <w:t xml:space="preserve"> area</w:t>
      </w:r>
      <w:r w:rsidR="004B293D">
        <w:rPr>
          <w:rFonts w:cs="Arial"/>
          <w:color w:val="auto"/>
          <w:lang w:val="en-GB"/>
        </w:rPr>
        <w:t>s</w:t>
      </w:r>
      <w:r w:rsidRPr="00D45DD3">
        <w:rPr>
          <w:rFonts w:cs="Arial"/>
          <w:color w:val="auto"/>
          <w:lang w:val="en-GB"/>
        </w:rPr>
        <w:t xml:space="preserve"> </w:t>
      </w:r>
      <w:r w:rsidR="009B6075">
        <w:rPr>
          <w:rFonts w:cs="Arial"/>
          <w:color w:val="auto"/>
          <w:lang w:val="en-GB"/>
        </w:rPr>
        <w:t xml:space="preserve">actually </w:t>
      </w:r>
      <w:r w:rsidR="009B6075" w:rsidRPr="00D45DD3">
        <w:rPr>
          <w:rFonts w:cs="Arial"/>
          <w:color w:val="auto"/>
          <w:lang w:val="en-GB"/>
        </w:rPr>
        <w:t xml:space="preserve">realised </w:t>
      </w:r>
      <w:r w:rsidRPr="00D45DD3">
        <w:rPr>
          <w:rFonts w:cs="Arial"/>
          <w:color w:val="auto"/>
          <w:lang w:val="en-GB"/>
        </w:rPr>
        <w:t xml:space="preserve">with the </w:t>
      </w:r>
      <w:r w:rsidR="009B6075">
        <w:rPr>
          <w:rFonts w:cs="Arial"/>
          <w:color w:val="auto"/>
          <w:lang w:val="en-GB"/>
        </w:rPr>
        <w:t xml:space="preserve">stipulations and descriptions in </w:t>
      </w:r>
      <w:r w:rsidRPr="00D45DD3">
        <w:rPr>
          <w:rFonts w:cs="Arial"/>
          <w:color w:val="auto"/>
          <w:lang w:val="en-GB"/>
        </w:rPr>
        <w:t xml:space="preserve">the Berlin </w:t>
      </w:r>
      <w:r w:rsidR="009B6075" w:rsidRPr="00D45DD3">
        <w:rPr>
          <w:rFonts w:cs="Arial"/>
          <w:color w:val="auto"/>
          <w:lang w:val="en-GB"/>
        </w:rPr>
        <w:t xml:space="preserve">development </w:t>
      </w:r>
      <w:r w:rsidRPr="00D45DD3">
        <w:rPr>
          <w:rFonts w:cs="Arial"/>
          <w:color w:val="auto"/>
          <w:lang w:val="en-GB"/>
        </w:rPr>
        <w:t xml:space="preserve">plans (land </w:t>
      </w:r>
      <w:r w:rsidR="009B6075">
        <w:rPr>
          <w:rFonts w:cs="Arial"/>
          <w:color w:val="auto"/>
          <w:lang w:val="en-GB"/>
        </w:rPr>
        <w:t>use</w:t>
      </w:r>
      <w:r w:rsidRPr="00D45DD3">
        <w:rPr>
          <w:rFonts w:cs="Arial"/>
          <w:color w:val="auto"/>
          <w:lang w:val="en-GB"/>
        </w:rPr>
        <w:t xml:space="preserve"> </w:t>
      </w:r>
      <w:r w:rsidR="009B6075" w:rsidRPr="00D45DD3">
        <w:rPr>
          <w:rFonts w:cs="Arial"/>
          <w:color w:val="auto"/>
          <w:lang w:val="en-GB"/>
        </w:rPr>
        <w:t>plan</w:t>
      </w:r>
      <w:r w:rsidR="00FE1154">
        <w:rPr>
          <w:rFonts w:cs="Arial"/>
          <w:color w:val="auto"/>
          <w:lang w:val="en-GB"/>
        </w:rPr>
        <w:t>s</w:t>
      </w:r>
      <w:r w:rsidRPr="00D45DD3">
        <w:rPr>
          <w:rFonts w:cs="Arial"/>
          <w:color w:val="auto"/>
          <w:lang w:val="en-GB"/>
        </w:rPr>
        <w:t xml:space="preserve">, </w:t>
      </w:r>
      <w:r w:rsidR="00FE1154">
        <w:rPr>
          <w:rFonts w:cs="Arial"/>
          <w:color w:val="auto"/>
          <w:lang w:val="en-GB"/>
        </w:rPr>
        <w:t xml:space="preserve">building </w:t>
      </w:r>
      <w:r w:rsidR="00B84042">
        <w:rPr>
          <w:rFonts w:cs="Arial"/>
          <w:color w:val="auto"/>
          <w:lang w:val="en-GB"/>
        </w:rPr>
        <w:t xml:space="preserve">use </w:t>
      </w:r>
      <w:r w:rsidR="00FE1154">
        <w:rPr>
          <w:rFonts w:cs="Arial"/>
          <w:color w:val="auto"/>
          <w:lang w:val="en-GB"/>
        </w:rPr>
        <w:t>plans</w:t>
      </w:r>
      <w:r w:rsidRPr="00D45DD3">
        <w:rPr>
          <w:rFonts w:cs="Arial"/>
          <w:color w:val="auto"/>
          <w:lang w:val="en-GB"/>
        </w:rPr>
        <w:t xml:space="preserve"> and </w:t>
      </w:r>
      <w:r w:rsidR="00FE1154">
        <w:rPr>
          <w:rFonts w:cs="Arial"/>
          <w:color w:val="auto"/>
          <w:lang w:val="en-GB"/>
        </w:rPr>
        <w:t>construction plans</w:t>
      </w:r>
      <w:r w:rsidRPr="00D45DD3">
        <w:rPr>
          <w:rFonts w:cs="Arial"/>
          <w:color w:val="auto"/>
          <w:lang w:val="en-GB"/>
        </w:rPr>
        <w:t>)</w:t>
      </w:r>
      <w:r w:rsidR="002D391E">
        <w:rPr>
          <w:rFonts w:cs="Arial"/>
          <w:color w:val="auto"/>
          <w:lang w:val="en-GB"/>
        </w:rPr>
        <w:t xml:space="preserve">, </w:t>
      </w:r>
      <w:r w:rsidRPr="00D45DD3">
        <w:rPr>
          <w:rFonts w:cs="Arial"/>
          <w:color w:val="auto"/>
          <w:lang w:val="en-GB"/>
        </w:rPr>
        <w:t xml:space="preserve">and </w:t>
      </w:r>
      <w:r w:rsidR="002D391E">
        <w:rPr>
          <w:rFonts w:cs="Arial"/>
          <w:color w:val="auto"/>
          <w:lang w:val="en-GB"/>
        </w:rPr>
        <w:t xml:space="preserve">thus to provide indications </w:t>
      </w:r>
      <w:r w:rsidRPr="00D45DD3">
        <w:rPr>
          <w:rFonts w:cs="Arial"/>
          <w:color w:val="auto"/>
          <w:lang w:val="en-GB"/>
        </w:rPr>
        <w:t>for the local</w:t>
      </w:r>
      <w:r w:rsidR="00D45DD3" w:rsidRPr="00D45DD3">
        <w:rPr>
          <w:rFonts w:cs="Arial"/>
          <w:color w:val="auto"/>
          <w:lang w:val="en-GB"/>
        </w:rPr>
        <w:t>is</w:t>
      </w:r>
      <w:r w:rsidRPr="00D45DD3">
        <w:rPr>
          <w:rFonts w:cs="Arial"/>
          <w:color w:val="auto"/>
          <w:lang w:val="en-GB"/>
        </w:rPr>
        <w:t xml:space="preserve">ation of </w:t>
      </w:r>
      <w:r w:rsidR="002D391E">
        <w:rPr>
          <w:rFonts w:cs="Arial"/>
          <w:color w:val="auto"/>
          <w:lang w:val="en-GB"/>
        </w:rPr>
        <w:t xml:space="preserve">the overuse </w:t>
      </w:r>
      <w:r w:rsidRPr="00D45DD3">
        <w:rPr>
          <w:rFonts w:cs="Arial"/>
          <w:color w:val="auto"/>
          <w:lang w:val="en-GB"/>
        </w:rPr>
        <w:t xml:space="preserve">or </w:t>
      </w:r>
      <w:r w:rsidR="002D391E">
        <w:rPr>
          <w:rFonts w:cs="Arial"/>
          <w:color w:val="auto"/>
          <w:lang w:val="en-GB"/>
        </w:rPr>
        <w:t>under</w:t>
      </w:r>
      <w:r w:rsidRPr="00D45DD3">
        <w:rPr>
          <w:rFonts w:cs="Arial"/>
          <w:color w:val="auto"/>
          <w:lang w:val="en-GB"/>
        </w:rPr>
        <w:t>use of areas.</w:t>
      </w:r>
      <w:r w:rsidR="003325AE" w:rsidRPr="00D45DD3">
        <w:rPr>
          <w:rFonts w:cs="Arial"/>
          <w:color w:val="auto"/>
          <w:lang w:val="en-GB"/>
        </w:rPr>
        <w:t xml:space="preserve"> </w:t>
      </w:r>
      <w:r w:rsidR="002D391E">
        <w:rPr>
          <w:rFonts w:cs="Arial"/>
          <w:color w:val="auto"/>
          <w:lang w:val="en-GB"/>
        </w:rPr>
        <w:t xml:space="preserve">For that reason, </w:t>
      </w:r>
      <w:r w:rsidRPr="00D45DD3">
        <w:rPr>
          <w:rFonts w:cs="Arial"/>
          <w:color w:val="auto"/>
          <w:lang w:val="en-GB"/>
        </w:rPr>
        <w:t xml:space="preserve">the threshold values of the presentation or the class </w:t>
      </w:r>
      <w:r w:rsidR="002D391E">
        <w:rPr>
          <w:rFonts w:cs="Arial"/>
          <w:color w:val="auto"/>
          <w:lang w:val="en-GB"/>
        </w:rPr>
        <w:t xml:space="preserve">boundaries </w:t>
      </w:r>
      <w:r w:rsidRPr="00D45DD3">
        <w:rPr>
          <w:rFonts w:cs="Arial"/>
          <w:color w:val="auto"/>
          <w:lang w:val="en-GB"/>
        </w:rPr>
        <w:t xml:space="preserve">are defined </w:t>
      </w:r>
      <w:r w:rsidR="002D391E">
        <w:rPr>
          <w:rFonts w:cs="Arial"/>
          <w:color w:val="auto"/>
          <w:lang w:val="en-GB"/>
        </w:rPr>
        <w:t>with referenc</w:t>
      </w:r>
      <w:r w:rsidRPr="00D45DD3">
        <w:rPr>
          <w:rFonts w:cs="Arial"/>
          <w:color w:val="auto"/>
          <w:lang w:val="en-GB"/>
        </w:rPr>
        <w:t xml:space="preserve">e </w:t>
      </w:r>
      <w:r w:rsidR="002D391E">
        <w:rPr>
          <w:rFonts w:cs="Arial"/>
          <w:color w:val="auto"/>
          <w:lang w:val="en-GB"/>
        </w:rPr>
        <w:t>t</w:t>
      </w:r>
      <w:r w:rsidRPr="00D45DD3">
        <w:rPr>
          <w:rFonts w:cs="Arial"/>
          <w:color w:val="auto"/>
          <w:lang w:val="en-GB"/>
        </w:rPr>
        <w:t xml:space="preserve">o those of the </w:t>
      </w:r>
      <w:r w:rsidR="00207958">
        <w:rPr>
          <w:rFonts w:cs="Arial"/>
          <w:color w:val="auto"/>
          <w:lang w:val="en-GB"/>
        </w:rPr>
        <w:t xml:space="preserve">building </w:t>
      </w:r>
      <w:r w:rsidR="00B84042">
        <w:rPr>
          <w:rFonts w:cs="Arial"/>
          <w:color w:val="auto"/>
          <w:lang w:val="en-GB"/>
        </w:rPr>
        <w:t xml:space="preserve">use </w:t>
      </w:r>
      <w:r w:rsidR="00207958">
        <w:rPr>
          <w:rFonts w:cs="Arial"/>
          <w:color w:val="auto"/>
          <w:lang w:val="en-GB"/>
        </w:rPr>
        <w:t>plans</w:t>
      </w:r>
      <w:r w:rsidR="00207958" w:rsidRPr="00D45DD3">
        <w:rPr>
          <w:rFonts w:cs="Arial"/>
          <w:color w:val="auto"/>
          <w:lang w:val="en-GB"/>
        </w:rPr>
        <w:t xml:space="preserve"> </w:t>
      </w:r>
      <w:r w:rsidRPr="00D45DD3">
        <w:rPr>
          <w:rFonts w:cs="Arial"/>
          <w:color w:val="auto"/>
          <w:lang w:val="en-GB"/>
        </w:rPr>
        <w:t xml:space="preserve">and </w:t>
      </w:r>
      <w:r w:rsidR="00207958">
        <w:rPr>
          <w:rFonts w:cs="Arial"/>
          <w:color w:val="auto"/>
          <w:lang w:val="en-GB"/>
        </w:rPr>
        <w:t>the</w:t>
      </w:r>
      <w:r w:rsidR="00207958" w:rsidRPr="00207958">
        <w:rPr>
          <w:rFonts w:cs="Arial"/>
          <w:color w:val="auto"/>
          <w:lang w:val="en-GB"/>
        </w:rPr>
        <w:t xml:space="preserve"> </w:t>
      </w:r>
      <w:r w:rsidR="00207958" w:rsidRPr="00D45DD3">
        <w:rPr>
          <w:rFonts w:cs="Arial"/>
          <w:color w:val="auto"/>
          <w:lang w:val="en-GB"/>
        </w:rPr>
        <w:t xml:space="preserve">land </w:t>
      </w:r>
      <w:r w:rsidR="00207958">
        <w:rPr>
          <w:rFonts w:cs="Arial"/>
          <w:color w:val="auto"/>
          <w:lang w:val="en-GB"/>
        </w:rPr>
        <w:t>use</w:t>
      </w:r>
      <w:r w:rsidR="00207958" w:rsidRPr="00D45DD3">
        <w:rPr>
          <w:rFonts w:cs="Arial"/>
          <w:color w:val="auto"/>
          <w:lang w:val="en-GB"/>
        </w:rPr>
        <w:t xml:space="preserve"> plan</w:t>
      </w:r>
      <w:r w:rsidR="00207958">
        <w:rPr>
          <w:rFonts w:cs="Arial"/>
          <w:color w:val="auto"/>
          <w:lang w:val="en-GB"/>
        </w:rPr>
        <w:t>s</w:t>
      </w:r>
      <w:r w:rsidRPr="00D45DD3">
        <w:rPr>
          <w:rFonts w:cs="Arial"/>
          <w:color w:val="auto"/>
          <w:lang w:val="en-GB"/>
        </w:rPr>
        <w:t>.</w:t>
      </w:r>
      <w:r w:rsidR="003325AE" w:rsidRPr="00D45DD3">
        <w:rPr>
          <w:rFonts w:cs="Arial"/>
          <w:color w:val="auto"/>
          <w:lang w:val="en-GB"/>
        </w:rPr>
        <w:t xml:space="preserve"> </w:t>
      </w:r>
      <w:r w:rsidR="0016041F">
        <w:rPr>
          <w:rFonts w:cs="Arial"/>
          <w:color w:val="auto"/>
          <w:lang w:val="en-GB"/>
        </w:rPr>
        <w:t xml:space="preserve">In order to permit </w:t>
      </w:r>
      <w:r w:rsidRPr="00D45DD3">
        <w:rPr>
          <w:rFonts w:cs="Arial"/>
          <w:color w:val="auto"/>
          <w:lang w:val="en-GB"/>
        </w:rPr>
        <w:t>more differentiated statement</w:t>
      </w:r>
      <w:r w:rsidR="00207958">
        <w:rPr>
          <w:rFonts w:cs="Arial"/>
          <w:color w:val="auto"/>
          <w:lang w:val="en-GB"/>
        </w:rPr>
        <w:t>s</w:t>
      </w:r>
      <w:r w:rsidR="0016041F">
        <w:rPr>
          <w:rFonts w:cs="Arial"/>
          <w:color w:val="auto"/>
          <w:lang w:val="en-GB"/>
        </w:rPr>
        <w:t xml:space="preserve"> for</w:t>
      </w:r>
      <w:r w:rsidRPr="00D45DD3">
        <w:rPr>
          <w:rFonts w:cs="Arial"/>
          <w:color w:val="auto"/>
          <w:lang w:val="en-GB"/>
        </w:rPr>
        <w:t xml:space="preserve"> the</w:t>
      </w:r>
      <w:r w:rsidR="0016041F">
        <w:rPr>
          <w:rFonts w:cs="Arial"/>
          <w:color w:val="auto"/>
          <w:lang w:val="en-GB"/>
        </w:rPr>
        <w:t xml:space="preserve"> densely built up areas with</w:t>
      </w:r>
      <w:r w:rsidRPr="00D45DD3">
        <w:rPr>
          <w:rFonts w:cs="Arial"/>
          <w:color w:val="auto"/>
          <w:lang w:val="en-GB"/>
        </w:rPr>
        <w:t xml:space="preserve"> </w:t>
      </w:r>
      <w:r w:rsidR="0016041F">
        <w:rPr>
          <w:rFonts w:cs="Arial"/>
          <w:color w:val="auto"/>
          <w:lang w:val="en-GB"/>
        </w:rPr>
        <w:t xml:space="preserve">pre-First World War buildings, </w:t>
      </w:r>
      <w:r w:rsidR="00207958">
        <w:rPr>
          <w:rFonts w:cs="Arial"/>
          <w:color w:val="auto"/>
          <w:lang w:val="en-GB"/>
        </w:rPr>
        <w:t xml:space="preserve">additional </w:t>
      </w:r>
      <w:r w:rsidR="00207958" w:rsidRPr="00D45DD3">
        <w:rPr>
          <w:rFonts w:cs="Arial"/>
          <w:color w:val="auto"/>
          <w:lang w:val="en-GB"/>
        </w:rPr>
        <w:t xml:space="preserve">classes </w:t>
      </w:r>
      <w:r w:rsidR="00207958">
        <w:rPr>
          <w:rFonts w:cs="Arial"/>
          <w:color w:val="auto"/>
          <w:lang w:val="en-GB"/>
        </w:rPr>
        <w:t xml:space="preserve">were created </w:t>
      </w:r>
      <w:r w:rsidRPr="00D45DD3">
        <w:rPr>
          <w:rFonts w:cs="Arial"/>
          <w:color w:val="auto"/>
          <w:lang w:val="en-GB"/>
        </w:rPr>
        <w:t xml:space="preserve">above the </w:t>
      </w:r>
      <w:r w:rsidR="00025148" w:rsidRPr="00D45DD3">
        <w:rPr>
          <w:rFonts w:cs="Arial"/>
          <w:color w:val="auto"/>
          <w:lang w:val="en-GB"/>
        </w:rPr>
        <w:t>floor space index</w:t>
      </w:r>
      <w:r w:rsidRPr="00D45DD3">
        <w:rPr>
          <w:rFonts w:cs="Arial"/>
          <w:color w:val="auto"/>
          <w:lang w:val="en-GB"/>
        </w:rPr>
        <w:t xml:space="preserve"> of 1.5.</w:t>
      </w:r>
    </w:p>
    <w:p w:rsidR="003325AE" w:rsidRPr="00D45DD3" w:rsidRDefault="00C675DE" w:rsidP="009A5DDA">
      <w:pPr>
        <w:pStyle w:val="berschrift2"/>
        <w:rPr>
          <w:rFonts w:cs="Arial"/>
          <w:lang w:val="en-GB"/>
        </w:rPr>
      </w:pPr>
      <w:r>
        <w:rPr>
          <w:rFonts w:cs="Arial"/>
          <w:lang w:val="en-GB"/>
        </w:rPr>
        <w:t>Statistical</w:t>
      </w:r>
      <w:r w:rsidR="00865666" w:rsidRPr="00D45DD3">
        <w:rPr>
          <w:rFonts w:cs="Arial"/>
          <w:lang w:val="en-GB"/>
        </w:rPr>
        <w:t xml:space="preserve"> </w:t>
      </w:r>
      <w:r w:rsidR="00025148" w:rsidRPr="00D45DD3">
        <w:rPr>
          <w:rFonts w:cs="Arial"/>
          <w:lang w:val="en-GB"/>
        </w:rPr>
        <w:t>Base</w:t>
      </w:r>
    </w:p>
    <w:p w:rsidR="003325AE" w:rsidRPr="002673B3" w:rsidRDefault="00737200" w:rsidP="00D12437">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For the calculation of the land to building ratio and the floor space index, the geometries of the buildings in the Automated Property Map of Berlin (</w:t>
      </w:r>
      <w:r w:rsidRPr="002673B3">
        <w:rPr>
          <w:rStyle w:val="HTMLAkronym"/>
          <w:rFonts w:ascii="Arial" w:hAnsi="Arial" w:cs="Arial"/>
          <w:sz w:val="20"/>
          <w:szCs w:val="20"/>
          <w:lang w:val="en-US"/>
        </w:rPr>
        <w:t>ALK</w:t>
      </w:r>
      <w:r w:rsidRPr="002673B3">
        <w:rPr>
          <w:rFonts w:ascii="Arial" w:hAnsi="Arial" w:cs="Arial"/>
          <w:sz w:val="20"/>
          <w:szCs w:val="20"/>
          <w:lang w:val="en-US"/>
        </w:rPr>
        <w:t>; part of the Land</w:t>
      </w:r>
      <w:r w:rsidRPr="006501CC">
        <w:rPr>
          <w:rFonts w:ascii="Arial" w:hAnsi="Arial" w:cs="Arial"/>
          <w:sz w:val="20"/>
          <w:szCs w:val="20"/>
          <w:lang w:val="en-US"/>
        </w:rPr>
        <w:t xml:space="preserve"> </w:t>
      </w:r>
      <w:r w:rsidR="006501CC" w:rsidRPr="006501CC">
        <w:rPr>
          <w:rFonts w:ascii="Arial" w:hAnsi="Arial" w:cs="Arial"/>
          <w:sz w:val="20"/>
          <w:szCs w:val="20"/>
          <w:lang w:val="en-US"/>
        </w:rPr>
        <w:t>Cadastre) were merged with the</w:t>
      </w:r>
      <w:r w:rsidRPr="006501CC">
        <w:rPr>
          <w:rFonts w:ascii="Arial" w:hAnsi="Arial" w:cs="Arial"/>
          <w:sz w:val="20"/>
          <w:szCs w:val="20"/>
          <w:lang w:val="en-US"/>
        </w:rPr>
        <w:t xml:space="preserve"> Block Map of the City and Environment Information System, 1:5.00</w:t>
      </w:r>
      <w:r w:rsidRPr="002673B3">
        <w:rPr>
          <w:rFonts w:ascii="Arial" w:hAnsi="Arial" w:cs="Arial"/>
          <w:sz w:val="20"/>
          <w:szCs w:val="20"/>
          <w:lang w:val="en-US"/>
        </w:rPr>
        <w:t>0.</w:t>
      </w:r>
    </w:p>
    <w:p w:rsidR="003325AE" w:rsidRPr="00D45DD3" w:rsidRDefault="00490D81" w:rsidP="00D12437">
      <w:pPr>
        <w:pStyle w:val="StandardWeb"/>
        <w:spacing w:before="0" w:beforeAutospacing="0" w:after="120" w:afterAutospacing="0"/>
        <w:rPr>
          <w:rFonts w:ascii="Arial" w:hAnsi="Arial" w:cs="Arial"/>
          <w:sz w:val="20"/>
          <w:szCs w:val="20"/>
          <w:lang w:val="en-GB"/>
        </w:rPr>
      </w:pPr>
      <w:r>
        <w:rPr>
          <w:rFonts w:ascii="Arial" w:hAnsi="Arial" w:cs="Arial"/>
          <w:sz w:val="20"/>
          <w:szCs w:val="20"/>
          <w:lang w:val="en-GB"/>
        </w:rPr>
        <w:t>For this purpose, t</w:t>
      </w:r>
      <w:r w:rsidR="00865666" w:rsidRPr="00D45DD3">
        <w:rPr>
          <w:rFonts w:ascii="Arial" w:hAnsi="Arial" w:cs="Arial"/>
          <w:sz w:val="20"/>
          <w:szCs w:val="20"/>
          <w:lang w:val="en-GB"/>
        </w:rPr>
        <w:t>he following data bases were consulted:</w:t>
      </w:r>
    </w:p>
    <w:p w:rsidR="003325AE" w:rsidRDefault="00865666" w:rsidP="00737200">
      <w:pPr>
        <w:numPr>
          <w:ilvl w:val="0"/>
          <w:numId w:val="24"/>
        </w:numPr>
        <w:jc w:val="left"/>
        <w:rPr>
          <w:rFonts w:cs="Arial"/>
          <w:noProof w:val="0"/>
          <w:color w:val="auto"/>
          <w:lang w:val="en-GB"/>
        </w:rPr>
      </w:pPr>
      <w:r w:rsidRPr="00C675DE">
        <w:rPr>
          <w:rFonts w:cs="Arial"/>
          <w:b/>
          <w:noProof w:val="0"/>
          <w:color w:val="auto"/>
          <w:lang w:val="en-GB"/>
        </w:rPr>
        <w:t xml:space="preserve">Block </w:t>
      </w:r>
      <w:r w:rsidR="00025148" w:rsidRPr="00C675DE">
        <w:rPr>
          <w:rFonts w:cs="Arial"/>
          <w:b/>
          <w:noProof w:val="0"/>
          <w:color w:val="auto"/>
          <w:lang w:val="en-GB"/>
        </w:rPr>
        <w:t>map</w:t>
      </w:r>
      <w:r w:rsidRPr="00C675DE">
        <w:rPr>
          <w:rFonts w:cs="Arial"/>
          <w:b/>
          <w:noProof w:val="0"/>
          <w:color w:val="auto"/>
          <w:lang w:val="en-GB"/>
        </w:rPr>
        <w:t xml:space="preserve"> 1:</w:t>
      </w:r>
      <w:r w:rsidR="003325AE" w:rsidRPr="00C675DE">
        <w:rPr>
          <w:rFonts w:cs="Arial"/>
          <w:b/>
          <w:noProof w:val="0"/>
          <w:color w:val="auto"/>
          <w:lang w:val="en-GB"/>
        </w:rPr>
        <w:t xml:space="preserve"> </w:t>
      </w:r>
      <w:r w:rsidRPr="00C675DE">
        <w:rPr>
          <w:rFonts w:cs="Arial"/>
          <w:b/>
          <w:noProof w:val="0"/>
          <w:color w:val="auto"/>
          <w:lang w:val="en-GB"/>
        </w:rPr>
        <w:t xml:space="preserve">5 000 </w:t>
      </w:r>
      <w:r w:rsidRPr="00C675DE">
        <w:rPr>
          <w:rFonts w:cs="Arial"/>
          <w:noProof w:val="0"/>
          <w:color w:val="auto"/>
          <w:lang w:val="en-GB"/>
        </w:rPr>
        <w:t xml:space="preserve">(ISU5) </w:t>
      </w:r>
      <w:r w:rsidR="004B293D" w:rsidRPr="00C675DE">
        <w:rPr>
          <w:rFonts w:cs="Arial"/>
          <w:noProof w:val="0"/>
          <w:color w:val="auto"/>
          <w:lang w:val="en-GB"/>
        </w:rPr>
        <w:t xml:space="preserve">of </w:t>
      </w:r>
      <w:r w:rsidRPr="00C675DE">
        <w:rPr>
          <w:rFonts w:cs="Arial"/>
          <w:noProof w:val="0"/>
          <w:color w:val="auto"/>
          <w:lang w:val="en-GB"/>
        </w:rPr>
        <w:t xml:space="preserve">the </w:t>
      </w:r>
      <w:r w:rsidR="00490D81" w:rsidRPr="00C675DE">
        <w:rPr>
          <w:rFonts w:cs="Arial"/>
          <w:lang w:val="en-GB"/>
        </w:rPr>
        <w:t>City and Environment Information System</w:t>
      </w:r>
      <w:r w:rsidR="004B293D" w:rsidRPr="00C675DE">
        <w:rPr>
          <w:rFonts w:cs="Arial"/>
          <w:noProof w:val="0"/>
          <w:color w:val="auto"/>
          <w:lang w:val="en-GB"/>
        </w:rPr>
        <w:t xml:space="preserve"> (ISU</w:t>
      </w:r>
      <w:r w:rsidRPr="00C675DE">
        <w:rPr>
          <w:rFonts w:cs="Arial"/>
          <w:noProof w:val="0"/>
          <w:color w:val="auto"/>
          <w:lang w:val="en-GB"/>
        </w:rPr>
        <w:t xml:space="preserve">) of the </w:t>
      </w:r>
      <w:r w:rsidR="00490D81" w:rsidRPr="00C675DE">
        <w:rPr>
          <w:rFonts w:cs="Arial"/>
          <w:noProof w:val="0"/>
          <w:lang w:val="en-US"/>
        </w:rPr>
        <w:t>Senate Department for Urban Development</w:t>
      </w:r>
      <w:r w:rsidRPr="00C675DE">
        <w:rPr>
          <w:rFonts w:cs="Arial"/>
          <w:noProof w:val="0"/>
          <w:color w:val="auto"/>
          <w:lang w:val="en-GB"/>
        </w:rPr>
        <w:t xml:space="preserve">, III F, </w:t>
      </w:r>
      <w:r w:rsidR="004B293D" w:rsidRPr="00C675DE">
        <w:rPr>
          <w:rFonts w:cs="Arial"/>
          <w:noProof w:val="0"/>
          <w:color w:val="auto"/>
          <w:lang w:val="en-GB"/>
        </w:rPr>
        <w:t>as of</w:t>
      </w:r>
      <w:r w:rsidRPr="00C675DE">
        <w:rPr>
          <w:rFonts w:cs="Arial"/>
          <w:noProof w:val="0"/>
          <w:color w:val="auto"/>
          <w:lang w:val="en-GB"/>
        </w:rPr>
        <w:t xml:space="preserve"> 31</w:t>
      </w:r>
      <w:r w:rsidR="004B293D" w:rsidRPr="00C675DE">
        <w:rPr>
          <w:rFonts w:cs="Arial"/>
          <w:noProof w:val="0"/>
          <w:color w:val="auto"/>
          <w:lang w:val="en-GB"/>
        </w:rPr>
        <w:t xml:space="preserve"> Dec</w:t>
      </w:r>
      <w:r w:rsidRPr="00C675DE">
        <w:rPr>
          <w:rFonts w:cs="Arial"/>
          <w:noProof w:val="0"/>
          <w:color w:val="auto"/>
          <w:lang w:val="en-GB"/>
        </w:rPr>
        <w:t>.</w:t>
      </w:r>
      <w:r w:rsidR="004B293D" w:rsidRPr="00C675DE">
        <w:rPr>
          <w:rFonts w:cs="Arial"/>
          <w:noProof w:val="0"/>
          <w:color w:val="auto"/>
          <w:lang w:val="en-GB"/>
        </w:rPr>
        <w:t xml:space="preserve"> </w:t>
      </w:r>
      <w:r w:rsidRPr="00C675DE">
        <w:rPr>
          <w:rFonts w:cs="Arial"/>
          <w:noProof w:val="0"/>
          <w:color w:val="auto"/>
          <w:lang w:val="en-GB"/>
        </w:rPr>
        <w:t>2005</w:t>
      </w:r>
    </w:p>
    <w:p w:rsidR="00737200" w:rsidRPr="00C675DE" w:rsidRDefault="00737200" w:rsidP="00737200">
      <w:pPr>
        <w:numPr>
          <w:ilvl w:val="0"/>
          <w:numId w:val="24"/>
        </w:numPr>
        <w:jc w:val="left"/>
        <w:rPr>
          <w:rFonts w:cs="Arial"/>
          <w:noProof w:val="0"/>
          <w:color w:val="auto"/>
          <w:lang w:val="en-GB"/>
        </w:rPr>
      </w:pPr>
      <w:r w:rsidRPr="000D405A">
        <w:rPr>
          <w:lang w:val="en-US"/>
        </w:rPr>
        <w:t>Map of building storeys, based on the Automated Property Map (ALK), of Berlin, as of June 30, 2011</w:t>
      </w:r>
    </w:p>
    <w:p w:rsidR="003325AE" w:rsidRPr="00C675DE" w:rsidRDefault="00865666" w:rsidP="00D12437">
      <w:pPr>
        <w:jc w:val="left"/>
        <w:rPr>
          <w:rFonts w:cs="Arial"/>
          <w:noProof w:val="0"/>
          <w:color w:val="auto"/>
          <w:lang w:val="en-GB"/>
        </w:rPr>
      </w:pPr>
      <w:r w:rsidRPr="00C675DE">
        <w:rPr>
          <w:rFonts w:cs="Arial"/>
          <w:noProof w:val="0"/>
          <w:color w:val="auto"/>
          <w:lang w:val="en-GB"/>
        </w:rPr>
        <w:t xml:space="preserve">as well as the </w:t>
      </w:r>
      <w:r w:rsidR="00490D81" w:rsidRPr="00C675DE">
        <w:rPr>
          <w:rFonts w:cs="Arial"/>
          <w:noProof w:val="0"/>
          <w:color w:val="auto"/>
          <w:lang w:val="en-GB"/>
        </w:rPr>
        <w:t>appropriate</w:t>
      </w:r>
      <w:r w:rsidRPr="00C675DE">
        <w:rPr>
          <w:rFonts w:cs="Arial"/>
          <w:noProof w:val="0"/>
          <w:color w:val="auto"/>
          <w:lang w:val="en-GB"/>
        </w:rPr>
        <w:t xml:space="preserve"> factual data</w:t>
      </w:r>
    </w:p>
    <w:p w:rsidR="003325AE" w:rsidRPr="00C675DE" w:rsidRDefault="00025148" w:rsidP="00737200">
      <w:pPr>
        <w:numPr>
          <w:ilvl w:val="0"/>
          <w:numId w:val="25"/>
        </w:numPr>
        <w:jc w:val="left"/>
        <w:rPr>
          <w:rFonts w:cs="Arial"/>
          <w:noProof w:val="0"/>
          <w:color w:val="auto"/>
          <w:lang w:val="en-GB"/>
        </w:rPr>
      </w:pPr>
      <w:r w:rsidRPr="00C675DE">
        <w:rPr>
          <w:rFonts w:cs="Arial"/>
          <w:noProof w:val="0"/>
          <w:color w:val="auto"/>
          <w:lang w:val="en-GB"/>
        </w:rPr>
        <w:lastRenderedPageBreak/>
        <w:t>number of storeys</w:t>
      </w:r>
      <w:r w:rsidR="00865666" w:rsidRPr="00C675DE">
        <w:rPr>
          <w:rFonts w:cs="Arial"/>
          <w:noProof w:val="0"/>
          <w:color w:val="auto"/>
          <w:lang w:val="en-GB"/>
        </w:rPr>
        <w:t xml:space="preserve"> of buildings</w:t>
      </w:r>
    </w:p>
    <w:p w:rsidR="003325AE" w:rsidRPr="00C675DE" w:rsidRDefault="00490D81" w:rsidP="00737200">
      <w:pPr>
        <w:numPr>
          <w:ilvl w:val="0"/>
          <w:numId w:val="25"/>
        </w:numPr>
        <w:jc w:val="left"/>
        <w:rPr>
          <w:rFonts w:cs="Arial"/>
          <w:noProof w:val="0"/>
          <w:color w:val="auto"/>
          <w:lang w:val="en-GB"/>
        </w:rPr>
      </w:pPr>
      <w:r w:rsidRPr="00C675DE">
        <w:rPr>
          <w:rFonts w:cs="Arial"/>
          <w:noProof w:val="0"/>
          <w:color w:val="auto"/>
          <w:lang w:val="en-GB"/>
        </w:rPr>
        <w:t xml:space="preserve">building </w:t>
      </w:r>
      <w:r w:rsidR="00865666" w:rsidRPr="00C675DE">
        <w:rPr>
          <w:rFonts w:cs="Arial"/>
          <w:noProof w:val="0"/>
          <w:color w:val="auto"/>
          <w:lang w:val="en-GB"/>
        </w:rPr>
        <w:t>type</w:t>
      </w:r>
    </w:p>
    <w:p w:rsidR="003325AE" w:rsidRPr="00C675DE" w:rsidRDefault="00490D81" w:rsidP="00737200">
      <w:pPr>
        <w:numPr>
          <w:ilvl w:val="0"/>
          <w:numId w:val="25"/>
        </w:numPr>
        <w:jc w:val="left"/>
        <w:rPr>
          <w:rFonts w:cs="Arial"/>
          <w:noProof w:val="0"/>
          <w:color w:val="auto"/>
          <w:lang w:val="en-GB"/>
        </w:rPr>
      </w:pPr>
      <w:r w:rsidRPr="00C675DE">
        <w:rPr>
          <w:rFonts w:cs="Arial"/>
          <w:noProof w:val="0"/>
          <w:color w:val="auto"/>
          <w:lang w:val="en-GB"/>
        </w:rPr>
        <w:t>land</w:t>
      </w:r>
      <w:r w:rsidR="00865666" w:rsidRPr="00C675DE">
        <w:rPr>
          <w:rFonts w:cs="Arial"/>
          <w:noProof w:val="0"/>
          <w:color w:val="auto"/>
          <w:lang w:val="en-GB"/>
        </w:rPr>
        <w:t xml:space="preserve"> use of blocks/</w:t>
      </w:r>
      <w:r w:rsidRPr="00C675DE">
        <w:rPr>
          <w:rFonts w:cs="Arial"/>
          <w:noProof w:val="0"/>
          <w:color w:val="auto"/>
          <w:lang w:val="en-GB"/>
        </w:rPr>
        <w:t xml:space="preserve"> block segments</w:t>
      </w:r>
    </w:p>
    <w:p w:rsidR="003325AE" w:rsidRPr="00C675DE" w:rsidRDefault="00490D81" w:rsidP="00737200">
      <w:pPr>
        <w:numPr>
          <w:ilvl w:val="0"/>
          <w:numId w:val="25"/>
        </w:numPr>
        <w:jc w:val="left"/>
        <w:rPr>
          <w:rFonts w:cs="Arial"/>
          <w:noProof w:val="0"/>
          <w:color w:val="auto"/>
          <w:lang w:val="en-GB"/>
        </w:rPr>
      </w:pPr>
      <w:r w:rsidRPr="00C675DE">
        <w:rPr>
          <w:rFonts w:cs="Arial"/>
          <w:noProof w:val="0"/>
          <w:color w:val="auto"/>
          <w:lang w:val="en-GB"/>
        </w:rPr>
        <w:t>urban structural</w:t>
      </w:r>
      <w:r w:rsidR="00865666" w:rsidRPr="00C675DE">
        <w:rPr>
          <w:rFonts w:cs="Arial"/>
          <w:noProof w:val="0"/>
          <w:color w:val="auto"/>
          <w:lang w:val="en-GB"/>
        </w:rPr>
        <w:t xml:space="preserve"> type/area type of blocks/</w:t>
      </w:r>
      <w:r w:rsidRPr="00C675DE">
        <w:rPr>
          <w:rFonts w:cs="Arial"/>
          <w:noProof w:val="0"/>
          <w:color w:val="auto"/>
          <w:lang w:val="en-GB"/>
        </w:rPr>
        <w:t xml:space="preserve"> block segments</w:t>
      </w:r>
      <w:r w:rsidR="00865666" w:rsidRPr="00C675DE">
        <w:rPr>
          <w:rFonts w:cs="Arial"/>
          <w:noProof w:val="0"/>
          <w:color w:val="auto"/>
          <w:lang w:val="en-GB"/>
        </w:rPr>
        <w:t>.</w:t>
      </w:r>
    </w:p>
    <w:p w:rsidR="003325AE" w:rsidRDefault="00865666" w:rsidP="00D12437">
      <w:pPr>
        <w:pStyle w:val="StandardWeb"/>
        <w:widowControl w:val="0"/>
        <w:spacing w:before="0" w:beforeAutospacing="0" w:after="120" w:afterAutospacing="0"/>
        <w:rPr>
          <w:rFonts w:ascii="Arial" w:hAnsi="Arial" w:cs="Arial"/>
          <w:sz w:val="20"/>
          <w:szCs w:val="20"/>
          <w:lang w:val="en-GB"/>
        </w:rPr>
      </w:pPr>
      <w:r w:rsidRPr="00C675DE">
        <w:rPr>
          <w:rFonts w:ascii="Arial" w:hAnsi="Arial" w:cs="Arial"/>
          <w:sz w:val="20"/>
          <w:szCs w:val="20"/>
          <w:lang w:val="en-GB"/>
        </w:rPr>
        <w:t xml:space="preserve">With the </w:t>
      </w:r>
      <w:r w:rsidR="00490D81" w:rsidRPr="00C675DE">
        <w:rPr>
          <w:rFonts w:ascii="Arial" w:hAnsi="Arial" w:cs="Arial"/>
          <w:sz w:val="20"/>
          <w:szCs w:val="20"/>
          <w:lang w:val="en-GB"/>
        </w:rPr>
        <w:t>aid</w:t>
      </w:r>
      <w:r w:rsidRPr="00C675DE">
        <w:rPr>
          <w:rFonts w:ascii="Arial" w:hAnsi="Arial" w:cs="Arial"/>
          <w:sz w:val="20"/>
          <w:szCs w:val="20"/>
          <w:lang w:val="en-GB"/>
        </w:rPr>
        <w:t xml:space="preserve"> of the</w:t>
      </w:r>
      <w:r w:rsidR="00490D81" w:rsidRPr="00C675DE">
        <w:rPr>
          <w:rFonts w:ascii="Arial" w:hAnsi="Arial" w:cs="Arial"/>
          <w:sz w:val="20"/>
          <w:szCs w:val="20"/>
          <w:lang w:val="en-GB"/>
        </w:rPr>
        <w:t>se</w:t>
      </w:r>
      <w:r w:rsidRPr="00C675DE">
        <w:rPr>
          <w:rFonts w:ascii="Arial" w:hAnsi="Arial" w:cs="Arial"/>
          <w:sz w:val="20"/>
          <w:szCs w:val="20"/>
          <w:lang w:val="en-GB"/>
        </w:rPr>
        <w:t xml:space="preserve"> data bases</w:t>
      </w:r>
      <w:r w:rsidR="00490D81" w:rsidRPr="00C675DE">
        <w:rPr>
          <w:rFonts w:ascii="Arial" w:hAnsi="Arial" w:cs="Arial"/>
          <w:sz w:val="20"/>
          <w:szCs w:val="20"/>
          <w:lang w:val="en-GB"/>
        </w:rPr>
        <w:t>,</w:t>
      </w:r>
      <w:r w:rsidRPr="00C675DE">
        <w:rPr>
          <w:rFonts w:ascii="Arial" w:hAnsi="Arial" w:cs="Arial"/>
          <w:sz w:val="20"/>
          <w:szCs w:val="20"/>
          <w:lang w:val="en-GB"/>
        </w:rPr>
        <w:t xml:space="preserve"> the </w:t>
      </w:r>
      <w:r w:rsidR="00490D81" w:rsidRPr="00C675DE">
        <w:rPr>
          <w:rFonts w:ascii="Arial" w:hAnsi="Arial" w:cs="Arial"/>
          <w:sz w:val="20"/>
          <w:szCs w:val="20"/>
          <w:lang w:val="en-GB"/>
        </w:rPr>
        <w:t xml:space="preserve">land to building ratio </w:t>
      </w:r>
      <w:r w:rsidRPr="00C675DE">
        <w:rPr>
          <w:rFonts w:ascii="Arial" w:hAnsi="Arial" w:cs="Arial"/>
          <w:sz w:val="20"/>
          <w:szCs w:val="20"/>
          <w:lang w:val="en-GB"/>
        </w:rPr>
        <w:t>(</w:t>
      </w:r>
      <w:r w:rsidR="005F06D0" w:rsidRPr="00C675DE">
        <w:rPr>
          <w:rFonts w:ascii="Arial" w:hAnsi="Arial" w:cs="Arial"/>
          <w:sz w:val="20"/>
          <w:szCs w:val="20"/>
          <w:lang w:val="en-GB"/>
        </w:rPr>
        <w:t>LBR</w:t>
      </w:r>
      <w:r w:rsidRPr="00C675DE">
        <w:rPr>
          <w:rFonts w:ascii="Arial" w:hAnsi="Arial" w:cs="Arial"/>
          <w:sz w:val="20"/>
          <w:szCs w:val="20"/>
          <w:lang w:val="en-GB"/>
        </w:rPr>
        <w:t xml:space="preserve">) and the </w:t>
      </w:r>
      <w:r w:rsidR="00025148" w:rsidRPr="00C675DE">
        <w:rPr>
          <w:rFonts w:ascii="Arial" w:hAnsi="Arial" w:cs="Arial"/>
          <w:sz w:val="20"/>
          <w:szCs w:val="20"/>
          <w:lang w:val="en-GB"/>
        </w:rPr>
        <w:t>floor space index</w:t>
      </w:r>
      <w:r w:rsidRPr="00C675DE">
        <w:rPr>
          <w:rFonts w:ascii="Arial" w:hAnsi="Arial" w:cs="Arial"/>
          <w:sz w:val="20"/>
          <w:szCs w:val="20"/>
          <w:lang w:val="en-GB"/>
        </w:rPr>
        <w:t xml:space="preserve"> (</w:t>
      </w:r>
      <w:r w:rsidR="005F06D0" w:rsidRPr="00C675DE">
        <w:rPr>
          <w:rFonts w:ascii="Arial" w:hAnsi="Arial" w:cs="Arial"/>
          <w:sz w:val="20"/>
          <w:szCs w:val="20"/>
          <w:lang w:val="en-GB"/>
        </w:rPr>
        <w:t>FSI</w:t>
      </w:r>
      <w:r w:rsidRPr="00C675DE">
        <w:rPr>
          <w:rFonts w:ascii="Arial" w:hAnsi="Arial" w:cs="Arial"/>
          <w:sz w:val="20"/>
          <w:szCs w:val="20"/>
          <w:lang w:val="en-GB"/>
        </w:rPr>
        <w:t xml:space="preserve">) </w:t>
      </w:r>
      <w:r w:rsidR="00490D81" w:rsidRPr="00C675DE">
        <w:rPr>
          <w:rFonts w:ascii="Arial" w:hAnsi="Arial" w:cs="Arial"/>
          <w:sz w:val="20"/>
          <w:szCs w:val="20"/>
          <w:lang w:val="en-GB"/>
        </w:rPr>
        <w:t>were ascertained for a total of 24,</w:t>
      </w:r>
      <w:r w:rsidRPr="00C675DE">
        <w:rPr>
          <w:rFonts w:ascii="Arial" w:hAnsi="Arial" w:cs="Arial"/>
          <w:sz w:val="20"/>
          <w:szCs w:val="20"/>
          <w:lang w:val="en-GB"/>
        </w:rPr>
        <w:t>669 block</w:t>
      </w:r>
      <w:r w:rsidR="00490D81" w:rsidRPr="00C675DE">
        <w:rPr>
          <w:rFonts w:ascii="Arial" w:hAnsi="Arial" w:cs="Arial"/>
          <w:sz w:val="20"/>
          <w:szCs w:val="20"/>
          <w:lang w:val="en-GB"/>
        </w:rPr>
        <w:t>s</w:t>
      </w:r>
      <w:r w:rsidRPr="00C675DE">
        <w:rPr>
          <w:rFonts w:ascii="Arial" w:hAnsi="Arial" w:cs="Arial"/>
          <w:sz w:val="20"/>
          <w:szCs w:val="20"/>
          <w:lang w:val="en-GB"/>
        </w:rPr>
        <w:t xml:space="preserve"> and block </w:t>
      </w:r>
      <w:r w:rsidR="00490D81" w:rsidRPr="00C675DE">
        <w:rPr>
          <w:rFonts w:ascii="Arial" w:hAnsi="Arial" w:cs="Arial"/>
          <w:sz w:val="20"/>
          <w:szCs w:val="20"/>
          <w:lang w:val="en-GB"/>
        </w:rPr>
        <w:t>segments</w:t>
      </w:r>
      <w:r w:rsidRPr="00C675DE">
        <w:rPr>
          <w:rFonts w:ascii="Arial" w:hAnsi="Arial" w:cs="Arial"/>
          <w:sz w:val="20"/>
          <w:szCs w:val="20"/>
          <w:lang w:val="en-GB"/>
        </w:rPr>
        <w:t>.</w:t>
      </w:r>
    </w:p>
    <w:p w:rsidR="003325AE" w:rsidRPr="00D45DD3" w:rsidRDefault="00865666" w:rsidP="005D2CB5">
      <w:pPr>
        <w:pStyle w:val="berschrift2"/>
        <w:spacing w:after="0"/>
        <w:rPr>
          <w:rFonts w:cs="Arial"/>
          <w:lang w:val="en-GB"/>
        </w:rPr>
      </w:pPr>
      <w:r w:rsidRPr="00D45DD3">
        <w:rPr>
          <w:rFonts w:cs="Arial"/>
          <w:lang w:val="en-GB"/>
        </w:rPr>
        <w:t>Method</w:t>
      </w:r>
      <w:r w:rsidR="00D45DD3" w:rsidRPr="00D45DD3">
        <w:rPr>
          <w:rFonts w:cs="Arial"/>
          <w:lang w:val="en-GB"/>
        </w:rPr>
        <w:t>ology</w:t>
      </w:r>
    </w:p>
    <w:p w:rsidR="002673B3" w:rsidRPr="002673B3" w:rsidRDefault="002673B3" w:rsidP="002673B3">
      <w:pPr>
        <w:pStyle w:val="berschrift3"/>
        <w:rPr>
          <w:lang w:val="en-US"/>
        </w:rPr>
      </w:pPr>
      <w:r w:rsidRPr="002673B3">
        <w:rPr>
          <w:lang w:val="en-US"/>
        </w:rPr>
        <w:t>Ascertainment of the Number of Storeys in Buildings</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The ascertainment of the number of storeys in the buildings was carried out by entering the number of storeys in the Automated Property Map of Berlin (</w:t>
      </w:r>
      <w:r w:rsidRPr="002673B3">
        <w:rPr>
          <w:rStyle w:val="HTMLAkronym"/>
          <w:rFonts w:ascii="Arial" w:hAnsi="Arial" w:cs="Arial"/>
          <w:sz w:val="20"/>
          <w:szCs w:val="20"/>
          <w:lang w:val="en-US"/>
        </w:rPr>
        <w:t>ALK</w:t>
      </w:r>
      <w:r w:rsidRPr="002673B3">
        <w:rPr>
          <w:rFonts w:ascii="Arial" w:hAnsi="Arial" w:cs="Arial"/>
          <w:sz w:val="20"/>
          <w:szCs w:val="20"/>
          <w:lang w:val="en-US"/>
        </w:rPr>
        <w:t>).</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For buildings for which the number of storeys has not been entered, an estimated value was used to calculate the floor space index: 2 for ruins, and 8 for towers.</w:t>
      </w:r>
    </w:p>
    <w:p w:rsidR="002673B3" w:rsidRPr="002673B3" w:rsidRDefault="002673B3" w:rsidP="002673B3">
      <w:pPr>
        <w:pStyle w:val="berschrift3"/>
        <w:rPr>
          <w:lang w:val="en-US"/>
        </w:rPr>
      </w:pPr>
      <w:bookmarkStart w:id="1" w:name="B3"/>
      <w:bookmarkEnd w:id="1"/>
      <w:r w:rsidRPr="002673B3">
        <w:rPr>
          <w:lang w:val="en-US"/>
        </w:rPr>
        <w:t>Ascertainment of the Land to Building Ratio</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 xml:space="preserve">The </w:t>
      </w:r>
      <w:r w:rsidRPr="002673B3">
        <w:rPr>
          <w:rFonts w:ascii="Arial" w:hAnsi="Arial" w:cs="Arial"/>
          <w:b/>
          <w:bCs/>
          <w:sz w:val="20"/>
          <w:szCs w:val="20"/>
          <w:lang w:val="en-US"/>
        </w:rPr>
        <w:t>land to building ratio (LBR)</w:t>
      </w:r>
      <w:r w:rsidRPr="002673B3">
        <w:rPr>
          <w:rFonts w:ascii="Arial" w:hAnsi="Arial" w:cs="Arial"/>
          <w:sz w:val="20"/>
          <w:szCs w:val="20"/>
          <w:lang w:val="en-US"/>
        </w:rPr>
        <w:t xml:space="preserve"> states the built-up proportion of a lot. The LBR is a decimal number with one or two fractional digits. Thus, the formula for the calculation of the LBR for the preparation of the present map is derived as follows: The sum of all built-up areas on a lot - here, the block area - is divided by the total area.</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Since in rare cases the areas of buildings do not agree with the block area boundaries, only the shares of those built-up areas have in those cases been compiled which were actually within the block area boundaries. This was accomplished by overlaying the building boundaries (ISU5) from the Automated Property Map (ALK) onto the block areas of the Block Map, 1:5,000. The building parts outside the block areas, e.g. on traffic areas (street land), were then not taken into account.</w:t>
      </w:r>
    </w:p>
    <w:p w:rsidR="002673B3" w:rsidRPr="002673B3" w:rsidRDefault="002673B3" w:rsidP="002673B3">
      <w:pPr>
        <w:pStyle w:val="berschrift3"/>
        <w:rPr>
          <w:lang w:val="en-US"/>
        </w:rPr>
      </w:pPr>
      <w:bookmarkStart w:id="2" w:name="B4"/>
      <w:bookmarkEnd w:id="2"/>
      <w:r w:rsidRPr="002673B3">
        <w:rPr>
          <w:lang w:val="en-US"/>
        </w:rPr>
        <w:t>Ascertainment of the Floor Space Index</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 xml:space="preserve">The </w:t>
      </w:r>
      <w:r w:rsidRPr="002673B3">
        <w:rPr>
          <w:rFonts w:ascii="Arial" w:hAnsi="Arial" w:cs="Arial"/>
          <w:b/>
          <w:bCs/>
          <w:sz w:val="20"/>
          <w:szCs w:val="20"/>
          <w:lang w:val="en-US"/>
        </w:rPr>
        <w:t>floor space index (FSI)</w:t>
      </w:r>
      <w:r w:rsidRPr="002673B3">
        <w:rPr>
          <w:rFonts w:ascii="Arial" w:hAnsi="Arial" w:cs="Arial"/>
          <w:sz w:val="20"/>
          <w:szCs w:val="20"/>
          <w:lang w:val="en-US"/>
        </w:rPr>
        <w:t xml:space="preserve"> states the number of square metres of floor area per square metre of lot area, compiled at the level of the total block area.</w:t>
      </w:r>
      <w:r w:rsidRPr="002673B3">
        <w:rPr>
          <w:rFonts w:ascii="Arial" w:hAnsi="Arial" w:cs="Arial"/>
          <w:sz w:val="20"/>
          <w:szCs w:val="20"/>
          <w:lang w:val="en-US"/>
        </w:rPr>
        <w:br/>
        <w:t>For the ascertainment of the FSI, the following applies:</w:t>
      </w:r>
      <w:r w:rsidRPr="002673B3">
        <w:rPr>
          <w:rFonts w:ascii="Arial" w:hAnsi="Arial" w:cs="Arial"/>
          <w:sz w:val="20"/>
          <w:szCs w:val="20"/>
          <w:lang w:val="en-US"/>
        </w:rPr>
        <w:br/>
        <w:t xml:space="preserve">The sum of all floor spaces of the buildings or building parts located on a block area is divided by the block size. The floor area of a building is thus calculated from the sum of the area of all full floors. Generally, this means: number of full floors multiplied by the base area of the building. </w:t>
      </w:r>
    </w:p>
    <w:p w:rsidR="002673B3" w:rsidRPr="002673B3" w:rsidRDefault="002673B3" w:rsidP="002673B3">
      <w:pPr>
        <w:pStyle w:val="berschrift3"/>
        <w:rPr>
          <w:lang w:val="en-US"/>
        </w:rPr>
      </w:pPr>
      <w:bookmarkStart w:id="3" w:name="B5"/>
      <w:bookmarkEnd w:id="3"/>
      <w:r w:rsidRPr="002673B3">
        <w:rPr>
          <w:lang w:val="en-US"/>
        </w:rPr>
        <w:t xml:space="preserve">Consideration of Structural Facilities as per § 19, Sec. 4 </w:t>
      </w:r>
      <w:r w:rsidRPr="002673B3">
        <w:rPr>
          <w:rStyle w:val="HTMLAkronym"/>
          <w:lang w:val="en-US"/>
        </w:rPr>
        <w:t>BauNVO</w:t>
      </w:r>
      <w:r w:rsidRPr="002673B3">
        <w:rPr>
          <w:lang w:val="en-US"/>
        </w:rPr>
        <w:t xml:space="preserve"> in the Ascertainment of LBR</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 xml:space="preserve">According to </w:t>
      </w:r>
      <w:r w:rsidRPr="002673B3">
        <w:rPr>
          <w:rFonts w:ascii="Arial" w:hAnsi="Arial" w:cs="Arial"/>
          <w:b/>
          <w:bCs/>
          <w:sz w:val="20"/>
          <w:szCs w:val="20"/>
          <w:lang w:val="en-US"/>
        </w:rPr>
        <w:t>§ 19, Sec. 4 BauNVO</w:t>
      </w:r>
      <w:r w:rsidRPr="002673B3">
        <w:rPr>
          <w:rFonts w:ascii="Arial" w:hAnsi="Arial" w:cs="Arial"/>
          <w:sz w:val="20"/>
          <w:szCs w:val="20"/>
          <w:lang w:val="en-US"/>
        </w:rPr>
        <w:t>, garages and carports, including their driveways and ancillary and structural facilities, have to be counted in the ascertainment of the base area.</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As a first step, the so-called "main facilities" as per § 19, Sec. 2 BauNVO, were ascertained. In the second step, the base areas of garages, carports, underground car parks and ancillary structures listed in the ALK were added. The buildings of the types shown in Table 1 were categorized as ancillary structures if they had less than two storeys. These facilites do not affect the ascertainment of the FSI.</w:t>
      </w:r>
    </w:p>
    <w:p w:rsidR="002673B3"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In cases in which aboveground and underground structures overlap, the aboveground structures were cut out of the underground structures (e.g. in the case of an underground parking ride in a building).</w:t>
      </w:r>
    </w:p>
    <w:p w:rsidR="003325AE" w:rsidRPr="002673B3" w:rsidRDefault="002673B3" w:rsidP="002673B3">
      <w:pPr>
        <w:pStyle w:val="StandardWeb"/>
        <w:spacing w:before="0" w:beforeAutospacing="0" w:after="120" w:afterAutospacing="0"/>
        <w:rPr>
          <w:rFonts w:ascii="Arial" w:hAnsi="Arial" w:cs="Arial"/>
          <w:sz w:val="20"/>
          <w:szCs w:val="20"/>
          <w:lang w:val="en-US"/>
        </w:rPr>
      </w:pPr>
      <w:r w:rsidRPr="002673B3">
        <w:rPr>
          <w:rFonts w:ascii="Arial" w:hAnsi="Arial" w:cs="Arial"/>
          <w:sz w:val="20"/>
          <w:szCs w:val="20"/>
          <w:lang w:val="en-US"/>
        </w:rPr>
        <w:t xml:space="preserve">For the values of the </w:t>
      </w:r>
      <w:r w:rsidRPr="002673B3">
        <w:rPr>
          <w:rFonts w:ascii="Arial" w:hAnsi="Arial" w:cs="Arial"/>
          <w:b/>
          <w:bCs/>
          <w:sz w:val="20"/>
          <w:szCs w:val="20"/>
          <w:lang w:val="en-US"/>
        </w:rPr>
        <w:t>land to building ratio</w:t>
      </w:r>
      <w:r w:rsidRPr="002673B3">
        <w:rPr>
          <w:rFonts w:ascii="Arial" w:hAnsi="Arial" w:cs="Arial"/>
          <w:sz w:val="20"/>
          <w:szCs w:val="20"/>
          <w:lang w:val="en-US"/>
        </w:rPr>
        <w:t xml:space="preserve"> (LBR) represented in the </w:t>
      </w:r>
      <w:r w:rsidRPr="002673B3">
        <w:rPr>
          <w:rFonts w:ascii="Arial" w:hAnsi="Arial" w:cs="Arial"/>
          <w:b/>
          <w:bCs/>
          <w:sz w:val="20"/>
          <w:szCs w:val="20"/>
          <w:lang w:val="en-US"/>
        </w:rPr>
        <w:t>map</w:t>
      </w:r>
      <w:r w:rsidRPr="002673B3">
        <w:rPr>
          <w:rFonts w:ascii="Arial" w:hAnsi="Arial" w:cs="Arial"/>
          <w:sz w:val="20"/>
          <w:szCs w:val="20"/>
          <w:lang w:val="en-US"/>
        </w:rPr>
        <w:t xml:space="preserve">, only the </w:t>
      </w:r>
      <w:r w:rsidRPr="002673B3">
        <w:rPr>
          <w:rFonts w:ascii="Arial" w:hAnsi="Arial" w:cs="Arial"/>
          <w:b/>
          <w:bCs/>
          <w:sz w:val="20"/>
          <w:szCs w:val="20"/>
          <w:lang w:val="en-US"/>
        </w:rPr>
        <w:t>main systems</w:t>
      </w:r>
      <w:r w:rsidRPr="002673B3">
        <w:rPr>
          <w:rFonts w:ascii="Arial" w:hAnsi="Arial" w:cs="Arial"/>
          <w:sz w:val="20"/>
          <w:szCs w:val="20"/>
          <w:lang w:val="en-US"/>
        </w:rPr>
        <w:t xml:space="preserve"> as per § 19, Sec. 2 BauNVO were ascertained, hence without the ancillary structures, parking spaces etc. The values with </w:t>
      </w:r>
      <w:r w:rsidRPr="002673B3">
        <w:rPr>
          <w:rFonts w:ascii="Arial" w:hAnsi="Arial" w:cs="Arial"/>
          <w:b/>
          <w:bCs/>
          <w:sz w:val="20"/>
          <w:szCs w:val="20"/>
          <w:lang w:val="en-US"/>
        </w:rPr>
        <w:t>ancillary structures</w:t>
      </w:r>
      <w:r w:rsidRPr="002673B3">
        <w:rPr>
          <w:rFonts w:ascii="Arial" w:hAnsi="Arial" w:cs="Arial"/>
          <w:sz w:val="20"/>
          <w:szCs w:val="20"/>
          <w:lang w:val="en-US"/>
        </w:rPr>
        <w:t xml:space="preserve">, parking spaces etc. (§ 19, Sec. 4 BauNVO) are not shown on the map; however, they too were ascertained, and can be seen in the </w:t>
      </w:r>
      <w:r w:rsidRPr="002673B3">
        <w:rPr>
          <w:rFonts w:ascii="Arial" w:hAnsi="Arial" w:cs="Arial"/>
          <w:b/>
          <w:bCs/>
          <w:sz w:val="20"/>
          <w:szCs w:val="20"/>
          <w:lang w:val="en-US"/>
        </w:rPr>
        <w:t>factual data display</w:t>
      </w:r>
      <w:r w:rsidRPr="002673B3">
        <w:rPr>
          <w:rFonts w:ascii="Arial" w:hAnsi="Arial" w:cs="Arial"/>
          <w:sz w:val="20"/>
          <w:szCs w:val="20"/>
          <w:lang w:val="en-US"/>
        </w:rPr>
        <w:t>.</w:t>
      </w:r>
    </w:p>
    <w:tbl>
      <w:tblPr>
        <w:tblW w:w="895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1270"/>
        <w:gridCol w:w="1440"/>
        <w:gridCol w:w="6240"/>
      </w:tblGrid>
      <w:tr w:rsidR="00F859E9" w:rsidRPr="00D45DD3" w:rsidTr="00E03E33">
        <w:trPr>
          <w:trHeight w:val="300"/>
        </w:trPr>
        <w:tc>
          <w:tcPr>
            <w:tcW w:w="1270" w:type="dxa"/>
            <w:tcBorders>
              <w:top w:val="single" w:sz="4" w:space="0" w:color="auto"/>
              <w:bottom w:val="single" w:sz="4" w:space="0" w:color="auto"/>
              <w:right w:val="single" w:sz="4" w:space="0" w:color="auto"/>
            </w:tcBorders>
            <w:shd w:val="clear" w:color="auto" w:fill="C0C0C0"/>
            <w:noWrap/>
            <w:vAlign w:val="center"/>
          </w:tcPr>
          <w:p w:rsidR="00F859E9" w:rsidRDefault="00F859E9" w:rsidP="00F859E9">
            <w:pPr>
              <w:spacing w:before="60" w:after="60"/>
              <w:rPr>
                <w:rFonts w:cs="Arial"/>
              </w:rPr>
            </w:pPr>
            <w:r>
              <w:rPr>
                <w:rFonts w:cs="Arial"/>
                <w:b/>
                <w:color w:val="auto"/>
                <w:szCs w:val="22"/>
                <w:lang w:val="en-GB"/>
              </w:rPr>
              <w:t>Key</w:t>
            </w:r>
          </w:p>
        </w:tc>
        <w:tc>
          <w:tcPr>
            <w:tcW w:w="14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59E9" w:rsidRDefault="00F859E9" w:rsidP="00F859E9">
            <w:pPr>
              <w:spacing w:before="60" w:after="60"/>
              <w:jc w:val="center"/>
              <w:rPr>
                <w:rFonts w:cs="Arial"/>
              </w:rPr>
            </w:pPr>
            <w:r w:rsidRPr="00847A68">
              <w:rPr>
                <w:rFonts w:cs="Arial"/>
                <w:b/>
                <w:color w:val="auto"/>
                <w:szCs w:val="22"/>
                <w:lang w:val="en-GB"/>
              </w:rPr>
              <w:t>Number</w:t>
            </w:r>
          </w:p>
        </w:tc>
        <w:tc>
          <w:tcPr>
            <w:tcW w:w="6240" w:type="dxa"/>
            <w:tcBorders>
              <w:top w:val="single" w:sz="4" w:space="0" w:color="auto"/>
              <w:left w:val="single" w:sz="4" w:space="0" w:color="auto"/>
              <w:bottom w:val="single" w:sz="4" w:space="0" w:color="auto"/>
            </w:tcBorders>
            <w:shd w:val="clear" w:color="auto" w:fill="C0C0C0"/>
            <w:noWrap/>
          </w:tcPr>
          <w:p w:rsidR="00F859E9" w:rsidRDefault="00F859E9" w:rsidP="00F859E9">
            <w:pPr>
              <w:spacing w:before="60" w:after="60"/>
              <w:rPr>
                <w:rFonts w:cs="Arial"/>
              </w:rPr>
            </w:pPr>
            <w:r>
              <w:rPr>
                <w:rFonts w:cs="Arial"/>
                <w:b/>
                <w:color w:val="auto"/>
                <w:szCs w:val="22"/>
                <w:lang w:val="en-GB"/>
              </w:rPr>
              <w:t xml:space="preserve">Type of </w:t>
            </w:r>
            <w:r w:rsidRPr="00847A68">
              <w:rPr>
                <w:rFonts w:cs="Arial"/>
                <w:b/>
                <w:color w:val="auto"/>
                <w:szCs w:val="22"/>
                <w:lang w:val="en-GB"/>
              </w:rPr>
              <w:t>Building</w:t>
            </w:r>
          </w:p>
        </w:tc>
      </w:tr>
      <w:tr w:rsidR="00F859E9" w:rsidRPr="00D45DD3" w:rsidTr="00E03E33">
        <w:trPr>
          <w:trHeight w:val="300"/>
        </w:trPr>
        <w:tc>
          <w:tcPr>
            <w:tcW w:w="1270" w:type="dxa"/>
            <w:tcBorders>
              <w:top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0111005</w:t>
            </w:r>
          </w:p>
        </w:tc>
        <w:tc>
          <w:tcPr>
            <w:tcW w:w="1440" w:type="dxa"/>
            <w:tcBorders>
              <w:top w:val="single" w:sz="4" w:space="0" w:color="auto"/>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159</w:t>
            </w:r>
          </w:p>
        </w:tc>
        <w:tc>
          <w:tcPr>
            <w:tcW w:w="6240" w:type="dxa"/>
            <w:tcBorders>
              <w:top w:val="single" w:sz="4" w:space="0" w:color="auto"/>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Underground building (general)</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0111381</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13</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Temporary residential building</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0112312</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239</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Waiting hall</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lastRenderedPageBreak/>
              <w:t>0112363</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3563</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Underground garage</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0112365</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5853</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Double garage</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0112366</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64957</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Single garage</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0112367</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4234</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Roofed carport</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0112513</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34</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Pumping facility</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0112515</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11</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Water container</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0112523</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2727</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Power conversion substation</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0112551</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214</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Oil tank</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0112612</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385</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Toilet Facility</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0112723</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21076</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Shed</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0112725</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17</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Feed silo</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0112851</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71</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Camping site building</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0112863</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5958</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Garden house</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0112869</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2064</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Weekend house</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0112894</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24</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Refuge hut</w:t>
            </w:r>
          </w:p>
        </w:tc>
      </w:tr>
      <w:tr w:rsidR="00F859E9" w:rsidRPr="00D45DD3"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0862363</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53</w:t>
            </w:r>
          </w:p>
        </w:tc>
        <w:tc>
          <w:tcPr>
            <w:tcW w:w="6240" w:type="dxa"/>
            <w:tcBorders>
              <w:top w:val="single" w:sz="4" w:space="0" w:color="FFFFFF"/>
              <w:left w:val="single" w:sz="4" w:space="0" w:color="auto"/>
              <w:bottom w:val="single" w:sz="4" w:space="0" w:color="FFFFFF"/>
            </w:tcBorders>
            <w:shd w:val="clear" w:color="auto" w:fill="F3F3F3"/>
            <w:noWrap/>
          </w:tcPr>
          <w:p w:rsidR="00F859E9" w:rsidRDefault="00F859E9" w:rsidP="00F859E9">
            <w:pPr>
              <w:spacing w:before="60" w:after="60"/>
              <w:rPr>
                <w:rFonts w:cs="Arial"/>
              </w:rPr>
            </w:pPr>
            <w:r>
              <w:rPr>
                <w:rFonts w:cs="Arial"/>
              </w:rPr>
              <w:t>Underground garage</w:t>
            </w:r>
          </w:p>
        </w:tc>
      </w:tr>
      <w:tr w:rsidR="00F859E9" w:rsidRPr="000D405A"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Default="00F859E9" w:rsidP="00F859E9">
            <w:pPr>
              <w:spacing w:before="60" w:after="60"/>
              <w:rPr>
                <w:rFonts w:cs="Arial"/>
              </w:rPr>
            </w:pPr>
            <w:r>
              <w:rPr>
                <w:rFonts w:cs="Arial"/>
              </w:rPr>
              <w:t>0871005</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5</w:t>
            </w:r>
          </w:p>
        </w:tc>
        <w:tc>
          <w:tcPr>
            <w:tcW w:w="6240" w:type="dxa"/>
            <w:tcBorders>
              <w:top w:val="single" w:sz="4" w:space="0" w:color="FFFFFF"/>
              <w:left w:val="single" w:sz="4" w:space="0" w:color="auto"/>
              <w:bottom w:val="single" w:sz="4" w:space="0" w:color="FFFFFF"/>
            </w:tcBorders>
            <w:shd w:val="clear" w:color="auto" w:fill="F3F3F3"/>
            <w:noWrap/>
          </w:tcPr>
          <w:p w:rsidR="00F859E9" w:rsidRPr="000D405A" w:rsidRDefault="00F859E9" w:rsidP="00F859E9">
            <w:pPr>
              <w:spacing w:before="60" w:after="60"/>
              <w:rPr>
                <w:rFonts w:cs="Arial"/>
                <w:lang w:val="en-US"/>
              </w:rPr>
            </w:pPr>
            <w:r w:rsidRPr="000D405A">
              <w:rPr>
                <w:rFonts w:cs="Arial"/>
                <w:lang w:val="en-US"/>
              </w:rPr>
              <w:t>Underground structure, planned or under construction</w:t>
            </w:r>
          </w:p>
        </w:tc>
      </w:tr>
      <w:tr w:rsidR="00F859E9" w:rsidRPr="000D405A" w:rsidTr="00E03E33">
        <w:trPr>
          <w:trHeight w:val="300"/>
        </w:trPr>
        <w:tc>
          <w:tcPr>
            <w:tcW w:w="1270" w:type="dxa"/>
            <w:tcBorders>
              <w:top w:val="single" w:sz="4" w:space="0" w:color="FFFFFF"/>
              <w:bottom w:val="single" w:sz="4" w:space="0" w:color="FFFFFF"/>
              <w:right w:val="single" w:sz="4" w:space="0" w:color="auto"/>
            </w:tcBorders>
            <w:shd w:val="clear" w:color="auto" w:fill="F3F3F3"/>
            <w:noWrap/>
            <w:vAlign w:val="center"/>
          </w:tcPr>
          <w:p w:rsidR="00F859E9" w:rsidRPr="000D405A" w:rsidRDefault="00F859E9" w:rsidP="00F859E9">
            <w:pPr>
              <w:spacing w:before="60" w:after="60"/>
              <w:rPr>
                <w:rFonts w:cs="Arial"/>
                <w:lang w:val="en-US"/>
              </w:rPr>
            </w:pPr>
            <w:r w:rsidRPr="000D405A">
              <w:rPr>
                <w:rFonts w:cs="Arial"/>
                <w:lang w:val="en-US"/>
              </w:rPr>
              <w:t> </w:t>
            </w:r>
          </w:p>
        </w:tc>
        <w:tc>
          <w:tcPr>
            <w:tcW w:w="1440" w:type="dxa"/>
            <w:tcBorders>
              <w:top w:val="single" w:sz="4" w:space="0" w:color="FFFFFF"/>
              <w:left w:val="single" w:sz="4" w:space="0" w:color="auto"/>
              <w:bottom w:val="single" w:sz="4" w:space="0" w:color="FFFFFF"/>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4109</w:t>
            </w:r>
          </w:p>
        </w:tc>
        <w:tc>
          <w:tcPr>
            <w:tcW w:w="6240" w:type="dxa"/>
            <w:tcBorders>
              <w:top w:val="single" w:sz="4" w:space="0" w:color="FFFFFF"/>
              <w:left w:val="single" w:sz="4" w:space="0" w:color="auto"/>
              <w:bottom w:val="single" w:sz="4" w:space="0" w:color="FFFFFF"/>
            </w:tcBorders>
            <w:shd w:val="clear" w:color="auto" w:fill="F3F3F3"/>
            <w:noWrap/>
          </w:tcPr>
          <w:p w:rsidR="00F859E9" w:rsidRPr="000D405A" w:rsidRDefault="00F859E9" w:rsidP="00F859E9">
            <w:pPr>
              <w:spacing w:before="60" w:after="60"/>
              <w:rPr>
                <w:rFonts w:cs="Arial"/>
                <w:lang w:val="en-US"/>
              </w:rPr>
            </w:pPr>
            <w:r w:rsidRPr="000D405A">
              <w:rPr>
                <w:rFonts w:cs="Arial"/>
                <w:lang w:val="en-US"/>
              </w:rPr>
              <w:t>Other underground building (all buildings with no number of storeys)</w:t>
            </w:r>
          </w:p>
        </w:tc>
      </w:tr>
      <w:tr w:rsidR="00F859E9" w:rsidRPr="000D405A" w:rsidTr="00E03E33">
        <w:trPr>
          <w:trHeight w:val="300"/>
        </w:trPr>
        <w:tc>
          <w:tcPr>
            <w:tcW w:w="1270" w:type="dxa"/>
            <w:tcBorders>
              <w:top w:val="single" w:sz="4" w:space="0" w:color="FFFFFF"/>
              <w:bottom w:val="single" w:sz="4" w:space="0" w:color="auto"/>
              <w:right w:val="single" w:sz="4" w:space="0" w:color="auto"/>
            </w:tcBorders>
            <w:shd w:val="clear" w:color="auto" w:fill="F3F3F3"/>
            <w:noWrap/>
            <w:vAlign w:val="center"/>
          </w:tcPr>
          <w:p w:rsidR="00F859E9" w:rsidRPr="000D405A" w:rsidRDefault="00F859E9" w:rsidP="00F859E9">
            <w:pPr>
              <w:spacing w:before="60" w:after="60"/>
              <w:rPr>
                <w:rFonts w:cs="Arial"/>
                <w:lang w:val="en-US"/>
              </w:rPr>
            </w:pPr>
            <w:r w:rsidRPr="000D405A">
              <w:rPr>
                <w:rFonts w:cs="Arial"/>
                <w:lang w:val="en-US"/>
              </w:rPr>
              <w:t> </w:t>
            </w:r>
          </w:p>
        </w:tc>
        <w:tc>
          <w:tcPr>
            <w:tcW w:w="1440" w:type="dxa"/>
            <w:tcBorders>
              <w:top w:val="single" w:sz="4" w:space="0" w:color="FFFFFF"/>
              <w:left w:val="single" w:sz="4" w:space="0" w:color="auto"/>
              <w:bottom w:val="single" w:sz="4" w:space="0" w:color="auto"/>
              <w:right w:val="single" w:sz="4" w:space="0" w:color="auto"/>
            </w:tcBorders>
            <w:shd w:val="clear" w:color="auto" w:fill="F3F3F3"/>
            <w:noWrap/>
            <w:vAlign w:val="center"/>
          </w:tcPr>
          <w:p w:rsidR="00F859E9" w:rsidRDefault="00F859E9" w:rsidP="00F859E9">
            <w:pPr>
              <w:spacing w:before="60" w:after="60"/>
              <w:jc w:val="center"/>
              <w:rPr>
                <w:rFonts w:cs="Arial"/>
              </w:rPr>
            </w:pPr>
            <w:r>
              <w:rPr>
                <w:rFonts w:cs="Arial"/>
              </w:rPr>
              <w:t>8</w:t>
            </w:r>
          </w:p>
        </w:tc>
        <w:tc>
          <w:tcPr>
            <w:tcW w:w="6240" w:type="dxa"/>
            <w:tcBorders>
              <w:top w:val="single" w:sz="4" w:space="0" w:color="FFFFFF"/>
              <w:left w:val="single" w:sz="4" w:space="0" w:color="auto"/>
              <w:bottom w:val="single" w:sz="4" w:space="0" w:color="auto"/>
            </w:tcBorders>
            <w:shd w:val="clear" w:color="auto" w:fill="F3F3F3"/>
            <w:noWrap/>
          </w:tcPr>
          <w:p w:rsidR="00F859E9" w:rsidRPr="000D405A" w:rsidRDefault="00F859E9" w:rsidP="00F859E9">
            <w:pPr>
              <w:spacing w:before="60" w:after="60"/>
              <w:rPr>
                <w:rFonts w:cs="Arial"/>
                <w:lang w:val="en-US"/>
              </w:rPr>
            </w:pPr>
            <w:r w:rsidRPr="000D405A">
              <w:rPr>
                <w:rFonts w:cs="Arial"/>
                <w:lang w:val="en-US"/>
              </w:rPr>
              <w:t>Cellar (buildings with a storey labelled C )</w:t>
            </w:r>
          </w:p>
        </w:tc>
      </w:tr>
    </w:tbl>
    <w:p w:rsidR="003325AE" w:rsidRPr="00F859E9" w:rsidRDefault="00865666" w:rsidP="00D12437">
      <w:pPr>
        <w:pStyle w:val="Tabelle"/>
        <w:rPr>
          <w:rFonts w:eastAsia="Arial Unicode MS"/>
          <w:lang w:val="en-US"/>
        </w:rPr>
      </w:pPr>
      <w:r w:rsidRPr="00F859E9">
        <w:rPr>
          <w:rFonts w:eastAsia="Arial Unicode MS"/>
          <w:lang w:val="en-US"/>
        </w:rPr>
        <w:t>Tab 1:</w:t>
      </w:r>
      <w:r w:rsidR="003325AE" w:rsidRPr="00F859E9">
        <w:rPr>
          <w:rFonts w:eastAsia="Arial Unicode MS"/>
          <w:lang w:val="en-US"/>
        </w:rPr>
        <w:t xml:space="preserve"> </w:t>
      </w:r>
      <w:r w:rsidR="00F859E9" w:rsidRPr="00F859E9">
        <w:rPr>
          <w:lang w:val="en-US"/>
        </w:rPr>
        <w:t>Building types categorized as ancillary structures</w:t>
      </w:r>
    </w:p>
    <w:p w:rsidR="00FB565B" w:rsidRPr="00D45DD3" w:rsidRDefault="00010A11" w:rsidP="00D12437">
      <w:pPr>
        <w:jc w:val="left"/>
        <w:rPr>
          <w:rFonts w:eastAsia="Arial Unicode MS" w:cs="Arial"/>
          <w:color w:val="auto"/>
          <w:lang w:val="en-GB"/>
        </w:rPr>
      </w:pPr>
      <w:r w:rsidRPr="000D405A">
        <w:rPr>
          <w:lang w:val="en-US"/>
        </w:rPr>
        <w:t>Slightly divergent values of urban structural density per block emerge, depending on whether the orientation is towards Sec. 2 or Sec. 4 of §19 BauNVO. Figure 1 shows the distribution amongst the chosen LBR density classes for the two methods of computation.</w:t>
      </w:r>
    </w:p>
    <w:p w:rsidR="003325AE" w:rsidRPr="001A2461" w:rsidRDefault="00500C8B" w:rsidP="00A6548B">
      <w:pPr>
        <w:spacing w:after="0"/>
        <w:jc w:val="left"/>
        <w:rPr>
          <w:rFonts w:eastAsia="Arial Unicode MS" w:cs="Arial"/>
          <w:color w:val="auto"/>
          <w:sz w:val="16"/>
          <w:szCs w:val="16"/>
          <w:lang w:val="en-US"/>
        </w:rPr>
      </w:pPr>
      <w:r w:rsidRPr="00DB2703">
        <w:rPr>
          <w:rFonts w:eastAsia="Arial Unicode MS" w:cs="Arial"/>
          <w:color w:val="auto"/>
          <w:sz w:val="16"/>
          <w:szCs w:val="16"/>
        </w:rPr>
        <w:drawing>
          <wp:inline distT="0" distB="0" distL="0" distR="0">
            <wp:extent cx="5810250" cy="3810000"/>
            <wp:effectExtent l="0" t="0" r="0" b="0"/>
            <wp:docPr id="1" name="Bild 2" descr="Comparison of land to building ratio (LBR) depending on orientation towards § 19, Sec. 2 of BauNVO or § 19 Sec. 4 of BauN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ison of land to building ratio (LBR) depending on orientation towards § 19, Sec. 2 of BauNVO or § 19 Sec. 4 of BauN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810000"/>
                    </a:xfrm>
                    <a:prstGeom prst="rect">
                      <a:avLst/>
                    </a:prstGeom>
                    <a:noFill/>
                    <a:ln>
                      <a:noFill/>
                    </a:ln>
                  </pic:spPr>
                </pic:pic>
              </a:graphicData>
            </a:graphic>
          </wp:inline>
        </w:drawing>
      </w:r>
    </w:p>
    <w:p w:rsidR="003325AE" w:rsidRPr="00DB2703" w:rsidRDefault="00D45DD3" w:rsidP="004675F4">
      <w:pPr>
        <w:pStyle w:val="Abbildung"/>
        <w:rPr>
          <w:lang w:val="en-US"/>
        </w:rPr>
      </w:pPr>
      <w:r w:rsidRPr="00DB2703">
        <w:rPr>
          <w:rFonts w:eastAsia="Arial Unicode MS"/>
          <w:lang w:val="en-US"/>
        </w:rPr>
        <w:lastRenderedPageBreak/>
        <w:t xml:space="preserve">Fig. </w:t>
      </w:r>
      <w:r w:rsidR="00865666" w:rsidRPr="00DB2703">
        <w:rPr>
          <w:rFonts w:eastAsia="Arial Unicode MS"/>
          <w:lang w:val="en-US"/>
        </w:rPr>
        <w:t>1:</w:t>
      </w:r>
      <w:r w:rsidR="003325AE" w:rsidRPr="00DB2703">
        <w:rPr>
          <w:rFonts w:eastAsia="Arial Unicode MS"/>
          <w:lang w:val="en-US"/>
        </w:rPr>
        <w:t xml:space="preserve"> </w:t>
      </w:r>
      <w:r w:rsidR="00DB2703" w:rsidRPr="00DB2703">
        <w:rPr>
          <w:lang w:val="en-US"/>
        </w:rPr>
        <w:t>Comparison of land to building ratio (LBR) depending on orientation towards § 19, Sec. 2 of BauNVO or § 19 Sec. 4 of BauNVO</w:t>
      </w:r>
    </w:p>
    <w:p w:rsidR="003325AE" w:rsidRPr="00D45DD3" w:rsidRDefault="00DB2703" w:rsidP="004675F4">
      <w:pPr>
        <w:jc w:val="left"/>
        <w:rPr>
          <w:rFonts w:eastAsia="Arial Unicode MS" w:cs="Arial"/>
          <w:color w:val="auto"/>
          <w:lang w:val="en-GB"/>
        </w:rPr>
      </w:pPr>
      <w:r w:rsidRPr="000D405A">
        <w:rPr>
          <w:lang w:val="en-US"/>
        </w:rPr>
        <w:t>Hereinafter, LBR always refers to an LBR based on § 19 Sec. 2 BauNVO</w:t>
      </w:r>
      <w:r w:rsidR="00815D47">
        <w:rPr>
          <w:rFonts w:eastAsia="Arial Unicode MS" w:cs="Arial"/>
          <w:color w:val="auto"/>
          <w:lang w:val="en-GB"/>
        </w:rPr>
        <w:t>.</w:t>
      </w:r>
    </w:p>
    <w:p w:rsidR="003325AE" w:rsidRPr="00D45DD3" w:rsidRDefault="00DB2703" w:rsidP="004675F4">
      <w:pPr>
        <w:jc w:val="left"/>
        <w:rPr>
          <w:rFonts w:eastAsia="Arial Unicode MS"/>
          <w:color w:val="auto"/>
          <w:lang w:val="en-GB"/>
        </w:rPr>
      </w:pPr>
      <w:r w:rsidRPr="000D405A">
        <w:rPr>
          <w:lang w:val="en-US"/>
        </w:rPr>
        <w:t>Overall however, it turns out that these differing considerations of ancillary structures have only a slight effect on the results of the presentation of the LBR</w:t>
      </w:r>
      <w:r w:rsidR="00865666" w:rsidRPr="00D45DD3">
        <w:rPr>
          <w:rFonts w:cs="Arial"/>
          <w:noProof w:val="0"/>
          <w:color w:val="auto"/>
          <w:lang w:val="en-GB"/>
        </w:rPr>
        <w:t>.</w:t>
      </w:r>
    </w:p>
    <w:p w:rsidR="003325AE" w:rsidRPr="00D45DD3" w:rsidRDefault="00025148" w:rsidP="00DA4870">
      <w:pPr>
        <w:pStyle w:val="berschrift2"/>
        <w:rPr>
          <w:rFonts w:eastAsia="Arial Unicode MS" w:cs="Arial"/>
          <w:lang w:val="en-GB"/>
        </w:rPr>
      </w:pPr>
      <w:r w:rsidRPr="00D45DD3">
        <w:rPr>
          <w:rFonts w:cs="Arial"/>
          <w:lang w:val="en-GB"/>
        </w:rPr>
        <w:t>Map</w:t>
      </w:r>
      <w:r w:rsidR="00865666" w:rsidRPr="00D45DD3">
        <w:rPr>
          <w:rFonts w:cs="Arial"/>
          <w:lang w:val="en-GB"/>
        </w:rPr>
        <w:t xml:space="preserve"> </w:t>
      </w:r>
      <w:r w:rsidR="00D45DD3" w:rsidRPr="00D45DD3">
        <w:rPr>
          <w:rFonts w:cs="Arial"/>
          <w:lang w:val="en-GB"/>
        </w:rPr>
        <w:t>Description</w:t>
      </w:r>
    </w:p>
    <w:p w:rsidR="00B53AA3" w:rsidRPr="00B53AA3" w:rsidRDefault="00B53AA3" w:rsidP="00B53AA3">
      <w:pPr>
        <w:pStyle w:val="StandardWeb"/>
        <w:spacing w:before="0" w:beforeAutospacing="0" w:after="120" w:afterAutospacing="0"/>
        <w:rPr>
          <w:rFonts w:ascii="Arial" w:hAnsi="Arial" w:cs="Arial"/>
          <w:sz w:val="20"/>
          <w:szCs w:val="20"/>
          <w:lang w:val="en-US"/>
        </w:rPr>
      </w:pPr>
      <w:r w:rsidRPr="00B53AA3">
        <w:rPr>
          <w:rFonts w:ascii="Arial" w:hAnsi="Arial" w:cs="Arial"/>
          <w:sz w:val="20"/>
          <w:szCs w:val="20"/>
          <w:lang w:val="en-US"/>
        </w:rPr>
        <w:t xml:space="preserve">The </w:t>
      </w:r>
      <w:r w:rsidRPr="00B53AA3">
        <w:rPr>
          <w:rStyle w:val="Fett"/>
          <w:rFonts w:ascii="Arial" w:hAnsi="Arial" w:cs="Arial"/>
          <w:sz w:val="20"/>
          <w:szCs w:val="20"/>
          <w:lang w:val="en-US"/>
        </w:rPr>
        <w:t>assignment to classes</w:t>
      </w:r>
      <w:r w:rsidRPr="00B53AA3">
        <w:rPr>
          <w:rFonts w:ascii="Arial" w:hAnsi="Arial" w:cs="Arial"/>
          <w:sz w:val="20"/>
          <w:szCs w:val="20"/>
          <w:lang w:val="en-US"/>
        </w:rPr>
        <w:t xml:space="preserve"> of the ascertained values for representation on the FSI and LBR map is oriented towards those of the land use plan (FNP) and the building use plan (BNP).</w:t>
      </w:r>
      <w:r w:rsidRPr="00B53AA3">
        <w:rPr>
          <w:rFonts w:ascii="Arial" w:hAnsi="Arial" w:cs="Arial"/>
          <w:sz w:val="20"/>
          <w:szCs w:val="20"/>
          <w:lang w:val="en-US"/>
        </w:rPr>
        <w:br/>
        <w:t>Areas with negligibly small built-up shares were assigned to non-built-up areas, and represented together with them. This involves areas with a land to building ratio (LBR) of less than 0.1, or a floor space index (FSI) less than 0.05. These are usually wooded areas or similar open areas, in which there are a few small buildings, mostly outbuildings. In the case of airports and railroad yards, which come under the category of traffic areas, no calculation of urban structural density was undertaken, since they are certified separately.</w:t>
      </w:r>
    </w:p>
    <w:p w:rsidR="00B53AA3" w:rsidRPr="00B53AA3" w:rsidRDefault="00B53AA3" w:rsidP="00B53AA3">
      <w:pPr>
        <w:pStyle w:val="StandardWeb"/>
        <w:spacing w:before="0" w:beforeAutospacing="0" w:after="120" w:afterAutospacing="0"/>
        <w:rPr>
          <w:rFonts w:ascii="Arial" w:hAnsi="Arial" w:cs="Arial"/>
          <w:sz w:val="20"/>
          <w:szCs w:val="20"/>
          <w:lang w:val="en-US"/>
        </w:rPr>
      </w:pPr>
      <w:r w:rsidRPr="00B53AA3">
        <w:rPr>
          <w:rFonts w:ascii="Arial" w:hAnsi="Arial" w:cs="Arial"/>
          <w:sz w:val="20"/>
          <w:szCs w:val="20"/>
          <w:lang w:val="en-US"/>
        </w:rPr>
        <w:t>As expected, the maps generally depict a concentric staggered degree of structural use in the municipal area. The more densely built-up areas can be recogni</w:t>
      </w:r>
      <w:r>
        <w:rPr>
          <w:rFonts w:ascii="Arial" w:hAnsi="Arial" w:cs="Arial"/>
          <w:sz w:val="20"/>
          <w:szCs w:val="20"/>
          <w:lang w:val="en-US"/>
        </w:rPr>
        <w:t>z</w:t>
      </w:r>
      <w:r w:rsidRPr="00B53AA3">
        <w:rPr>
          <w:rFonts w:ascii="Arial" w:hAnsi="Arial" w:cs="Arial"/>
          <w:sz w:val="20"/>
          <w:szCs w:val="20"/>
          <w:lang w:val="en-US"/>
        </w:rPr>
        <w:t xml:space="preserve">ed clearly from the deep red to blue colouring. Today's </w:t>
      </w:r>
      <w:r w:rsidRPr="00B53AA3">
        <w:rPr>
          <w:rFonts w:ascii="Arial" w:hAnsi="Arial" w:cs="Arial"/>
          <w:b/>
          <w:bCs/>
          <w:sz w:val="20"/>
          <w:szCs w:val="20"/>
          <w:lang w:val="en-US"/>
        </w:rPr>
        <w:t>inner-city area</w:t>
      </w:r>
      <w:r w:rsidRPr="00B53AA3">
        <w:rPr>
          <w:rFonts w:ascii="Arial" w:hAnsi="Arial" w:cs="Arial"/>
          <w:sz w:val="20"/>
          <w:szCs w:val="20"/>
          <w:lang w:val="en-US"/>
        </w:rPr>
        <w:t xml:space="preserve"> within the urban railway (S-Bahn) Circle Line, built as the "imperial-era tenement belt" around the old centre of Berlin, even today has the highest structural density, with FSIs of between 2 and 4. This is also true of the "new city centre" at Potsdamer Platz and the core areas of the boroughs of Spandau, Reinickendorf, Köpenick, Hellersdorf and Zehlendorf.</w:t>
      </w:r>
    </w:p>
    <w:p w:rsidR="00B53AA3" w:rsidRPr="00B53AA3" w:rsidRDefault="00B53AA3" w:rsidP="00B53AA3">
      <w:pPr>
        <w:pStyle w:val="StandardWeb"/>
        <w:spacing w:before="0" w:beforeAutospacing="0" w:after="120" w:afterAutospacing="0"/>
        <w:rPr>
          <w:rFonts w:ascii="Arial" w:hAnsi="Arial" w:cs="Arial"/>
          <w:sz w:val="20"/>
          <w:szCs w:val="20"/>
          <w:lang w:val="en-US"/>
        </w:rPr>
      </w:pPr>
      <w:r w:rsidRPr="00B53AA3">
        <w:rPr>
          <w:rFonts w:ascii="Arial" w:hAnsi="Arial" w:cs="Arial"/>
          <w:sz w:val="20"/>
          <w:szCs w:val="20"/>
          <w:lang w:val="en-US"/>
        </w:rPr>
        <w:t xml:space="preserve">On the </w:t>
      </w:r>
      <w:r w:rsidRPr="00B53AA3">
        <w:rPr>
          <w:rFonts w:ascii="Arial" w:hAnsi="Arial" w:cs="Arial"/>
          <w:b/>
          <w:bCs/>
          <w:sz w:val="20"/>
          <w:szCs w:val="20"/>
          <w:lang w:val="en-US"/>
        </w:rPr>
        <w:t>perifery of the inner city</w:t>
      </w:r>
      <w:r w:rsidRPr="00B53AA3">
        <w:rPr>
          <w:rFonts w:ascii="Arial" w:hAnsi="Arial" w:cs="Arial"/>
          <w:sz w:val="20"/>
          <w:szCs w:val="20"/>
          <w:lang w:val="en-US"/>
        </w:rPr>
        <w:t>, much of it containing many residential areas of the Weimar period, most areas have an FSI of 1.0 to 1.2.</w:t>
      </w:r>
      <w:r w:rsidRPr="00B53AA3">
        <w:rPr>
          <w:rFonts w:ascii="Arial" w:hAnsi="Arial" w:cs="Arial"/>
          <w:sz w:val="20"/>
          <w:szCs w:val="20"/>
          <w:lang w:val="en-US"/>
        </w:rPr>
        <w:br/>
        <w:t xml:space="preserve">In the </w:t>
      </w:r>
      <w:r w:rsidRPr="00B53AA3">
        <w:rPr>
          <w:rFonts w:ascii="Arial" w:hAnsi="Arial" w:cs="Arial"/>
          <w:b/>
          <w:bCs/>
          <w:sz w:val="20"/>
          <w:szCs w:val="20"/>
          <w:lang w:val="en-US"/>
        </w:rPr>
        <w:t>outer parts of the city</w:t>
      </w:r>
      <w:r w:rsidRPr="00B53AA3">
        <w:rPr>
          <w:rFonts w:ascii="Arial" w:hAnsi="Arial" w:cs="Arial"/>
          <w:sz w:val="20"/>
          <w:szCs w:val="20"/>
          <w:lang w:val="en-US"/>
        </w:rPr>
        <w:t>, detached homes prevail, with low floor space indices of less than 0.5 predominating. The large housing estates of the '60s and '70s, and older built-up areas along the main radial traffic routes stand out clearly due to their higher degrees of usage of ground. In particular cases, a high density of development of certain blocks can be seen even in peripheral areas of the city. This usually involves large public service complexes, such as the hospital complex in Buch.</w:t>
      </w:r>
    </w:p>
    <w:p w:rsidR="00B53AA3" w:rsidRPr="00B53AA3" w:rsidRDefault="00B53AA3" w:rsidP="00B53AA3">
      <w:pPr>
        <w:pStyle w:val="StandardWeb"/>
        <w:spacing w:before="0" w:beforeAutospacing="0" w:after="120" w:afterAutospacing="0"/>
        <w:rPr>
          <w:rFonts w:ascii="Arial" w:hAnsi="Arial" w:cs="Arial"/>
          <w:sz w:val="20"/>
          <w:szCs w:val="20"/>
          <w:lang w:val="en-US"/>
        </w:rPr>
      </w:pPr>
      <w:r w:rsidRPr="00B53AA3">
        <w:rPr>
          <w:rFonts w:ascii="Arial" w:hAnsi="Arial" w:cs="Arial"/>
          <w:sz w:val="20"/>
          <w:szCs w:val="20"/>
          <w:lang w:val="en-US"/>
        </w:rPr>
        <w:t>The considerably higher density figures of the numerous local core areas also show the polycentric structure of Berlin, with its core area uses.</w:t>
      </w:r>
    </w:p>
    <w:p w:rsidR="00B53AA3" w:rsidRPr="00B53AA3" w:rsidRDefault="00B53AA3" w:rsidP="00B53AA3">
      <w:pPr>
        <w:pStyle w:val="StandardWeb"/>
        <w:spacing w:before="0" w:beforeAutospacing="0" w:after="120" w:afterAutospacing="0"/>
        <w:rPr>
          <w:rFonts w:ascii="Arial" w:hAnsi="Arial" w:cs="Arial"/>
          <w:sz w:val="20"/>
          <w:szCs w:val="20"/>
          <w:lang w:val="en-US"/>
        </w:rPr>
      </w:pPr>
      <w:r w:rsidRPr="00B53AA3">
        <w:rPr>
          <w:rFonts w:ascii="Arial" w:hAnsi="Arial" w:cs="Arial"/>
          <w:sz w:val="20"/>
          <w:szCs w:val="20"/>
          <w:lang w:val="en-US"/>
        </w:rPr>
        <w:t>The maps enable the localisation of potenital vacant building land in built-up blocks in which the actual degree of structural use is less than the legally permitted proportion. In terms of urban planning discussions of the densification of the city centre, these vacant areas have particular significance.</w:t>
      </w:r>
    </w:p>
    <w:p w:rsidR="00FB223A" w:rsidRPr="009B1762" w:rsidRDefault="00B53AA3" w:rsidP="00B53AA3">
      <w:pPr>
        <w:spacing w:after="0"/>
        <w:jc w:val="left"/>
        <w:rPr>
          <w:rFonts w:cs="Arial"/>
          <w:color w:val="auto"/>
          <w:lang w:val="en-US"/>
        </w:rPr>
      </w:pPr>
      <w:r w:rsidRPr="000D405A">
        <w:rPr>
          <w:rFonts w:cs="Arial"/>
          <w:color w:val="auto"/>
          <w:lang w:val="en-US" w:eastAsia="ja-JP"/>
        </w:rPr>
        <w:lastRenderedPageBreak/>
        <w:t xml:space="preserve"> </w:t>
      </w:r>
      <w:r w:rsidR="00500C8B">
        <w:rPr>
          <w:rFonts w:cs="Arial"/>
          <w:color w:val="auto"/>
        </w:rPr>
        <w:drawing>
          <wp:inline distT="0" distB="0" distL="0" distR="0">
            <wp:extent cx="5760085" cy="372046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720465"/>
                    </a:xfrm>
                    <a:prstGeom prst="rect">
                      <a:avLst/>
                    </a:prstGeom>
                    <a:noFill/>
                  </pic:spPr>
                </pic:pic>
              </a:graphicData>
            </a:graphic>
          </wp:inline>
        </w:drawing>
      </w:r>
    </w:p>
    <w:p w:rsidR="003325AE" w:rsidRPr="00D45DD3" w:rsidRDefault="00D45DD3" w:rsidP="0053268B">
      <w:pPr>
        <w:pStyle w:val="Abbildung"/>
        <w:rPr>
          <w:lang w:val="en-GB"/>
        </w:rPr>
      </w:pPr>
      <w:r w:rsidRPr="00D45DD3">
        <w:rPr>
          <w:rFonts w:eastAsia="Arial Unicode MS"/>
          <w:lang w:val="en-GB"/>
        </w:rPr>
        <w:t xml:space="preserve">Fig. </w:t>
      </w:r>
      <w:r w:rsidR="00865666" w:rsidRPr="00D45DD3">
        <w:rPr>
          <w:rFonts w:eastAsia="Arial Unicode MS"/>
          <w:lang w:val="en-GB"/>
        </w:rPr>
        <w:t>2:</w:t>
      </w:r>
      <w:r w:rsidR="003325AE" w:rsidRPr="00D45DD3">
        <w:rPr>
          <w:rFonts w:eastAsia="Arial Unicode MS"/>
          <w:lang w:val="en-GB"/>
        </w:rPr>
        <w:t xml:space="preserve"> </w:t>
      </w:r>
      <w:r w:rsidR="0038436F">
        <w:rPr>
          <w:lang w:val="en-GB"/>
        </w:rPr>
        <w:t>Resident</w:t>
      </w:r>
      <w:r w:rsidR="0038436F" w:rsidRPr="00D45DD3">
        <w:rPr>
          <w:lang w:val="en-GB"/>
        </w:rPr>
        <w:t xml:space="preserve"> </w:t>
      </w:r>
      <w:r w:rsidR="00865666" w:rsidRPr="00D45DD3">
        <w:rPr>
          <w:lang w:val="en-GB"/>
        </w:rPr>
        <w:t xml:space="preserve">density, </w:t>
      </w:r>
      <w:r w:rsidR="005F06D0" w:rsidRPr="00D45DD3">
        <w:rPr>
          <w:lang w:val="en-GB"/>
        </w:rPr>
        <w:t>FSI</w:t>
      </w:r>
      <w:r w:rsidR="00865666" w:rsidRPr="00D45DD3">
        <w:rPr>
          <w:lang w:val="en-GB"/>
        </w:rPr>
        <w:t xml:space="preserve"> and </w:t>
      </w:r>
      <w:r w:rsidR="005F06D0" w:rsidRPr="00D45DD3">
        <w:rPr>
          <w:lang w:val="en-GB"/>
        </w:rPr>
        <w:t>LBR</w:t>
      </w:r>
      <w:r w:rsidR="00865666" w:rsidRPr="00D45DD3">
        <w:rPr>
          <w:lang w:val="en-GB"/>
        </w:rPr>
        <w:t xml:space="preserve"> of select uses in comparison</w:t>
      </w:r>
    </w:p>
    <w:p w:rsidR="00824F88" w:rsidRPr="00D45DD3" w:rsidRDefault="00500C8B">
      <w:pPr>
        <w:spacing w:after="0"/>
        <w:jc w:val="left"/>
        <w:rPr>
          <w:rFonts w:cs="Arial"/>
          <w:noProof w:val="0"/>
          <w:color w:val="auto"/>
          <w:lang w:val="en-US"/>
        </w:rPr>
      </w:pPr>
      <w:r w:rsidRPr="00B53AA3">
        <w:rPr>
          <w:rFonts w:cs="Arial"/>
          <w:color w:val="auto"/>
        </w:rPr>
        <w:lastRenderedPageBreak/>
        <w:drawing>
          <wp:inline distT="0" distB="0" distL="0" distR="0">
            <wp:extent cx="5867400" cy="7505700"/>
            <wp:effectExtent l="0" t="0" r="0" b="0"/>
            <wp:docPr id="3" name="Bild 3" descr="Resident density, FSI and LBR of the different urban structure types in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dent density, FSI and LBR of the different urban structure types in compari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7505700"/>
                    </a:xfrm>
                    <a:prstGeom prst="rect">
                      <a:avLst/>
                    </a:prstGeom>
                    <a:noFill/>
                    <a:ln>
                      <a:noFill/>
                    </a:ln>
                  </pic:spPr>
                </pic:pic>
              </a:graphicData>
            </a:graphic>
          </wp:inline>
        </w:drawing>
      </w:r>
    </w:p>
    <w:p w:rsidR="00AF3739" w:rsidRPr="00D45DD3" w:rsidRDefault="00D45DD3" w:rsidP="0053268B">
      <w:pPr>
        <w:pStyle w:val="Abbildung"/>
        <w:rPr>
          <w:lang w:val="en-GB"/>
        </w:rPr>
      </w:pPr>
      <w:r w:rsidRPr="00D45DD3">
        <w:rPr>
          <w:rFonts w:eastAsia="Arial Unicode MS"/>
          <w:lang w:val="en-GB"/>
        </w:rPr>
        <w:t>Fig.</w:t>
      </w:r>
      <w:r w:rsidR="00865666" w:rsidRPr="00D45DD3">
        <w:rPr>
          <w:rFonts w:eastAsia="Arial Unicode MS"/>
          <w:lang w:val="en-GB"/>
        </w:rPr>
        <w:t>. 3:</w:t>
      </w:r>
      <w:r w:rsidR="003325AE" w:rsidRPr="00D45DD3">
        <w:rPr>
          <w:rFonts w:eastAsia="Arial Unicode MS"/>
          <w:lang w:val="en-GB"/>
        </w:rPr>
        <w:t xml:space="preserve"> </w:t>
      </w:r>
      <w:r w:rsidR="0038436F">
        <w:rPr>
          <w:lang w:val="en-GB"/>
        </w:rPr>
        <w:t>Resident</w:t>
      </w:r>
      <w:r w:rsidR="00865666" w:rsidRPr="00D45DD3">
        <w:rPr>
          <w:lang w:val="en-GB"/>
        </w:rPr>
        <w:t xml:space="preserve"> density, </w:t>
      </w:r>
      <w:r w:rsidR="005F06D0" w:rsidRPr="00D45DD3">
        <w:rPr>
          <w:lang w:val="en-GB"/>
        </w:rPr>
        <w:t>FSI</w:t>
      </w:r>
      <w:r w:rsidR="00865666" w:rsidRPr="00D45DD3">
        <w:rPr>
          <w:lang w:val="en-GB"/>
        </w:rPr>
        <w:t xml:space="preserve"> and </w:t>
      </w:r>
      <w:r w:rsidR="005F06D0" w:rsidRPr="00D45DD3">
        <w:rPr>
          <w:lang w:val="en-GB"/>
        </w:rPr>
        <w:t>LBR</w:t>
      </w:r>
      <w:r w:rsidR="00865666" w:rsidRPr="00D45DD3">
        <w:rPr>
          <w:lang w:val="en-GB"/>
        </w:rPr>
        <w:t xml:space="preserve"> of the different </w:t>
      </w:r>
      <w:r w:rsidR="0038436F">
        <w:rPr>
          <w:lang w:val="en-GB"/>
        </w:rPr>
        <w:t>urban</w:t>
      </w:r>
      <w:r w:rsidR="00865666" w:rsidRPr="00D45DD3">
        <w:rPr>
          <w:lang w:val="en-GB"/>
        </w:rPr>
        <w:t xml:space="preserve"> structure types in comparison</w:t>
      </w:r>
    </w:p>
    <w:p w:rsidR="00EA1887" w:rsidRPr="00D45DD3" w:rsidRDefault="0098370B" w:rsidP="00AF3739">
      <w:pPr>
        <w:jc w:val="left"/>
        <w:rPr>
          <w:rFonts w:cs="Arial"/>
          <w:noProof w:val="0"/>
          <w:color w:val="auto"/>
          <w:lang w:val="en-GB"/>
        </w:rPr>
      </w:pPr>
      <w:r>
        <w:rPr>
          <w:rFonts w:cs="Arial"/>
          <w:noProof w:val="0"/>
          <w:color w:val="auto"/>
          <w:lang w:val="en-GB"/>
        </w:rPr>
        <w:t>Figures</w:t>
      </w:r>
      <w:r w:rsidRPr="00D45DD3">
        <w:rPr>
          <w:rFonts w:cs="Arial"/>
          <w:noProof w:val="0"/>
          <w:color w:val="auto"/>
          <w:lang w:val="en-GB"/>
        </w:rPr>
        <w:t xml:space="preserve"> 2 </w:t>
      </w:r>
      <w:r w:rsidR="0053268B">
        <w:rPr>
          <w:rFonts w:cs="Arial"/>
          <w:noProof w:val="0"/>
          <w:color w:val="auto"/>
          <w:lang w:val="en-GB"/>
        </w:rPr>
        <w:t>and</w:t>
      </w:r>
      <w:r w:rsidRPr="00D45DD3">
        <w:rPr>
          <w:rFonts w:cs="Arial"/>
          <w:noProof w:val="0"/>
          <w:color w:val="auto"/>
          <w:lang w:val="en-GB"/>
        </w:rPr>
        <w:t xml:space="preserve"> 3</w:t>
      </w:r>
      <w:r>
        <w:rPr>
          <w:rFonts w:cs="Arial"/>
          <w:noProof w:val="0"/>
          <w:color w:val="auto"/>
          <w:lang w:val="en-GB"/>
        </w:rPr>
        <w:t xml:space="preserve"> </w:t>
      </w:r>
      <w:r w:rsidRPr="00D45DD3">
        <w:rPr>
          <w:rFonts w:cs="Arial"/>
          <w:noProof w:val="0"/>
          <w:color w:val="auto"/>
          <w:lang w:val="en-GB"/>
        </w:rPr>
        <w:t xml:space="preserve">show </w:t>
      </w:r>
      <w:r>
        <w:rPr>
          <w:rFonts w:cs="Arial"/>
          <w:noProof w:val="0"/>
          <w:color w:val="auto"/>
          <w:lang w:val="en-GB"/>
        </w:rPr>
        <w:t>t</w:t>
      </w:r>
      <w:r w:rsidR="00865666" w:rsidRPr="00D45DD3">
        <w:rPr>
          <w:rFonts w:cs="Arial"/>
          <w:noProof w:val="0"/>
          <w:color w:val="auto"/>
          <w:lang w:val="en-GB"/>
        </w:rPr>
        <w:t xml:space="preserve">he average </w:t>
      </w:r>
      <w:r w:rsidR="005F06D0" w:rsidRPr="00D45DD3">
        <w:rPr>
          <w:rFonts w:cs="Arial"/>
          <w:noProof w:val="0"/>
          <w:color w:val="auto"/>
          <w:lang w:val="en-GB"/>
        </w:rPr>
        <w:t>FSI</w:t>
      </w:r>
      <w:r w:rsidR="00865666" w:rsidRPr="00D45DD3">
        <w:rPr>
          <w:rFonts w:cs="Arial"/>
          <w:noProof w:val="0"/>
          <w:color w:val="auto"/>
          <w:lang w:val="en-GB"/>
        </w:rPr>
        <w:t xml:space="preserve"> and </w:t>
      </w:r>
      <w:r w:rsidR="005F06D0" w:rsidRPr="00D45DD3">
        <w:rPr>
          <w:rFonts w:cs="Arial"/>
          <w:noProof w:val="0"/>
          <w:color w:val="auto"/>
          <w:lang w:val="en-GB"/>
        </w:rPr>
        <w:t>LBR</w:t>
      </w:r>
      <w:r w:rsidR="00865666" w:rsidRPr="00D45DD3">
        <w:rPr>
          <w:rFonts w:cs="Arial"/>
          <w:noProof w:val="0"/>
          <w:color w:val="auto"/>
          <w:lang w:val="en-GB"/>
        </w:rPr>
        <w:t xml:space="preserve"> values </w:t>
      </w:r>
      <w:r>
        <w:rPr>
          <w:rFonts w:cs="Arial"/>
          <w:noProof w:val="0"/>
          <w:color w:val="auto"/>
          <w:lang w:val="en-GB"/>
        </w:rPr>
        <w:t>for</w:t>
      </w:r>
      <w:r w:rsidR="00865666" w:rsidRPr="00D45DD3">
        <w:rPr>
          <w:rFonts w:cs="Arial"/>
          <w:noProof w:val="0"/>
          <w:color w:val="auto"/>
          <w:lang w:val="en-GB"/>
        </w:rPr>
        <w:t xml:space="preserve"> select uses and </w:t>
      </w:r>
      <w:r>
        <w:rPr>
          <w:rFonts w:cs="Arial"/>
          <w:noProof w:val="0"/>
          <w:color w:val="auto"/>
          <w:lang w:val="en-GB"/>
        </w:rPr>
        <w:t>urban structural</w:t>
      </w:r>
      <w:r w:rsidR="00865666" w:rsidRPr="00D45DD3">
        <w:rPr>
          <w:rFonts w:cs="Arial"/>
          <w:noProof w:val="0"/>
          <w:color w:val="auto"/>
          <w:lang w:val="en-GB"/>
        </w:rPr>
        <w:t xml:space="preserve"> types</w:t>
      </w:r>
      <w:r>
        <w:rPr>
          <w:rFonts w:cs="Arial"/>
          <w:noProof w:val="0"/>
          <w:color w:val="auto"/>
          <w:lang w:val="en-GB"/>
        </w:rPr>
        <w:t xml:space="preserve">, </w:t>
      </w:r>
      <w:r w:rsidR="00865666" w:rsidRPr="00D45DD3">
        <w:rPr>
          <w:rFonts w:cs="Arial"/>
          <w:noProof w:val="0"/>
          <w:color w:val="auto"/>
          <w:lang w:val="en-GB"/>
        </w:rPr>
        <w:t xml:space="preserve">and </w:t>
      </w:r>
      <w:r>
        <w:rPr>
          <w:rFonts w:cs="Arial"/>
          <w:noProof w:val="0"/>
          <w:color w:val="auto"/>
          <w:lang w:val="en-GB"/>
        </w:rPr>
        <w:t xml:space="preserve">counterpose </w:t>
      </w:r>
      <w:r w:rsidR="00865666" w:rsidRPr="00D45DD3">
        <w:rPr>
          <w:rFonts w:cs="Arial"/>
          <w:noProof w:val="0"/>
          <w:color w:val="auto"/>
          <w:lang w:val="en-GB"/>
        </w:rPr>
        <w:t xml:space="preserve">them </w:t>
      </w:r>
      <w:r>
        <w:rPr>
          <w:rFonts w:cs="Arial"/>
          <w:noProof w:val="0"/>
          <w:color w:val="auto"/>
          <w:lang w:val="en-GB"/>
        </w:rPr>
        <w:t xml:space="preserve">to </w:t>
      </w:r>
      <w:r w:rsidR="00865666" w:rsidRPr="00D45DD3">
        <w:rPr>
          <w:rFonts w:cs="Arial"/>
          <w:noProof w:val="0"/>
          <w:color w:val="auto"/>
          <w:lang w:val="en-GB"/>
        </w:rPr>
        <w:t xml:space="preserve">average </w:t>
      </w:r>
      <w:r>
        <w:rPr>
          <w:rFonts w:cs="Arial"/>
          <w:noProof w:val="0"/>
          <w:color w:val="auto"/>
          <w:lang w:val="en-GB"/>
        </w:rPr>
        <w:t xml:space="preserve">resident </w:t>
      </w:r>
      <w:r w:rsidR="00865666" w:rsidRPr="00D45DD3">
        <w:rPr>
          <w:rFonts w:cs="Arial"/>
          <w:noProof w:val="0"/>
          <w:color w:val="auto"/>
          <w:lang w:val="en-GB"/>
        </w:rPr>
        <w:t>densities.</w:t>
      </w:r>
      <w:r w:rsidR="00EA1887" w:rsidRPr="00D45DD3">
        <w:rPr>
          <w:rFonts w:cs="Arial"/>
          <w:noProof w:val="0"/>
          <w:color w:val="auto"/>
          <w:lang w:val="en-GB"/>
        </w:rPr>
        <w:t xml:space="preserve"> </w:t>
      </w:r>
      <w:r w:rsidR="00865666" w:rsidRPr="00D45DD3">
        <w:rPr>
          <w:rFonts w:cs="Arial"/>
          <w:noProof w:val="0"/>
          <w:color w:val="auto"/>
          <w:lang w:val="en-GB"/>
        </w:rPr>
        <w:t xml:space="preserve">The </w:t>
      </w:r>
      <w:r w:rsidRPr="00D45DD3">
        <w:rPr>
          <w:rFonts w:cs="Arial"/>
          <w:noProof w:val="0"/>
          <w:color w:val="auto"/>
          <w:lang w:val="en-GB"/>
        </w:rPr>
        <w:t xml:space="preserve">comparison of the inhabitant density with </w:t>
      </w:r>
      <w:r>
        <w:rPr>
          <w:rFonts w:cs="Arial"/>
          <w:noProof w:val="0"/>
          <w:color w:val="auto"/>
          <w:lang w:val="en-GB"/>
        </w:rPr>
        <w:t xml:space="preserve">the </w:t>
      </w:r>
      <w:r w:rsidR="00865666" w:rsidRPr="00D45DD3">
        <w:rPr>
          <w:rFonts w:cs="Arial"/>
          <w:noProof w:val="0"/>
          <w:color w:val="auto"/>
          <w:lang w:val="en-GB"/>
        </w:rPr>
        <w:t xml:space="preserve">two </w:t>
      </w:r>
      <w:r>
        <w:rPr>
          <w:rFonts w:cs="Arial"/>
          <w:noProof w:val="0"/>
          <w:color w:val="auto"/>
          <w:lang w:val="en-GB"/>
        </w:rPr>
        <w:t>parameters</w:t>
      </w:r>
      <w:r w:rsidR="00865666" w:rsidRPr="00D45DD3">
        <w:rPr>
          <w:rFonts w:cs="Arial"/>
          <w:noProof w:val="0"/>
          <w:color w:val="auto"/>
          <w:lang w:val="en-GB"/>
        </w:rPr>
        <w:t xml:space="preserve"> </w:t>
      </w:r>
      <w:r>
        <w:rPr>
          <w:rFonts w:cs="Arial"/>
          <w:noProof w:val="0"/>
          <w:color w:val="auto"/>
          <w:lang w:val="en-GB"/>
        </w:rPr>
        <w:t>land to building ratio</w:t>
      </w:r>
      <w:r w:rsidR="00865666" w:rsidRPr="00D45DD3">
        <w:rPr>
          <w:rFonts w:cs="Arial"/>
          <w:noProof w:val="0"/>
          <w:color w:val="auto"/>
          <w:lang w:val="en-GB"/>
        </w:rPr>
        <w:t xml:space="preserve"> and </w:t>
      </w:r>
      <w:r w:rsidR="00025148" w:rsidRPr="00D45DD3">
        <w:rPr>
          <w:rFonts w:cs="Arial"/>
          <w:noProof w:val="0"/>
          <w:color w:val="auto"/>
          <w:lang w:val="en-GB"/>
        </w:rPr>
        <w:t>floor space index</w:t>
      </w:r>
      <w:r w:rsidR="00865666" w:rsidRPr="00D45DD3">
        <w:rPr>
          <w:rFonts w:cs="Arial"/>
          <w:noProof w:val="0"/>
          <w:color w:val="auto"/>
          <w:lang w:val="en-GB"/>
        </w:rPr>
        <w:t xml:space="preserve"> </w:t>
      </w:r>
      <w:r>
        <w:rPr>
          <w:rFonts w:cs="Arial"/>
          <w:noProof w:val="0"/>
          <w:color w:val="auto"/>
          <w:lang w:val="en-GB"/>
        </w:rPr>
        <w:t>shows first and foremost</w:t>
      </w:r>
      <w:r w:rsidR="00865666" w:rsidRPr="00D45DD3">
        <w:rPr>
          <w:rFonts w:cs="Arial"/>
          <w:noProof w:val="0"/>
          <w:color w:val="auto"/>
          <w:lang w:val="en-GB"/>
        </w:rPr>
        <w:t xml:space="preserve"> that the greatest </w:t>
      </w:r>
      <w:r>
        <w:rPr>
          <w:rFonts w:cs="Arial"/>
          <w:noProof w:val="0"/>
          <w:color w:val="auto"/>
          <w:lang w:val="en-GB"/>
        </w:rPr>
        <w:t>resident</w:t>
      </w:r>
      <w:r w:rsidR="00865666" w:rsidRPr="00D45DD3">
        <w:rPr>
          <w:rFonts w:cs="Arial"/>
          <w:noProof w:val="0"/>
          <w:color w:val="auto"/>
          <w:lang w:val="en-GB"/>
        </w:rPr>
        <w:t xml:space="preserve"> densities</w:t>
      </w:r>
      <w:r>
        <w:rPr>
          <w:rFonts w:cs="Arial"/>
          <w:noProof w:val="0"/>
          <w:color w:val="auto"/>
          <w:lang w:val="en-GB"/>
        </w:rPr>
        <w:t>, and also the</w:t>
      </w:r>
      <w:r w:rsidRPr="00D45DD3">
        <w:rPr>
          <w:rFonts w:cs="Arial"/>
          <w:noProof w:val="0"/>
          <w:color w:val="auto"/>
          <w:lang w:val="en-GB"/>
        </w:rPr>
        <w:t xml:space="preserve"> high</w:t>
      </w:r>
      <w:r w:rsidR="00D72EA8">
        <w:rPr>
          <w:rFonts w:cs="Arial"/>
          <w:noProof w:val="0"/>
          <w:color w:val="auto"/>
          <w:lang w:val="en-GB"/>
        </w:rPr>
        <w:t>est</w:t>
      </w:r>
      <w:r w:rsidRPr="00D45DD3">
        <w:rPr>
          <w:rFonts w:cs="Arial"/>
          <w:noProof w:val="0"/>
          <w:color w:val="auto"/>
          <w:lang w:val="en-GB"/>
        </w:rPr>
        <w:t xml:space="preserve"> urban </w:t>
      </w:r>
      <w:r>
        <w:rPr>
          <w:rFonts w:cs="Arial"/>
          <w:noProof w:val="0"/>
          <w:color w:val="auto"/>
          <w:lang w:val="en-GB"/>
        </w:rPr>
        <w:t xml:space="preserve">structural </w:t>
      </w:r>
      <w:r w:rsidRPr="00D45DD3">
        <w:rPr>
          <w:rFonts w:cs="Arial"/>
          <w:noProof w:val="0"/>
          <w:color w:val="auto"/>
          <w:lang w:val="en-GB"/>
        </w:rPr>
        <w:t>densities</w:t>
      </w:r>
      <w:r>
        <w:rPr>
          <w:rFonts w:cs="Arial"/>
          <w:noProof w:val="0"/>
          <w:color w:val="auto"/>
          <w:lang w:val="en-GB"/>
        </w:rPr>
        <w:t>,</w:t>
      </w:r>
      <w:r w:rsidRPr="00D45DD3">
        <w:rPr>
          <w:rFonts w:cs="Arial"/>
          <w:noProof w:val="0"/>
          <w:color w:val="auto"/>
          <w:lang w:val="en-GB"/>
        </w:rPr>
        <w:t xml:space="preserve"> </w:t>
      </w:r>
      <w:r>
        <w:rPr>
          <w:rFonts w:cs="Arial"/>
          <w:noProof w:val="0"/>
          <w:color w:val="auto"/>
          <w:lang w:val="en-GB"/>
        </w:rPr>
        <w:t xml:space="preserve">are </w:t>
      </w:r>
      <w:r w:rsidR="00865666" w:rsidRPr="00D45DD3">
        <w:rPr>
          <w:rFonts w:cs="Arial"/>
          <w:noProof w:val="0"/>
          <w:color w:val="auto"/>
          <w:lang w:val="en-GB"/>
        </w:rPr>
        <w:t xml:space="preserve">still to be found in the </w:t>
      </w:r>
      <w:r>
        <w:rPr>
          <w:rFonts w:cs="Arial"/>
          <w:noProof w:val="0"/>
          <w:color w:val="auto"/>
          <w:lang w:val="en-GB"/>
        </w:rPr>
        <w:t xml:space="preserve">neighbourhoods </w:t>
      </w:r>
      <w:r w:rsidR="00865666" w:rsidRPr="00D45DD3">
        <w:rPr>
          <w:rFonts w:cs="Arial"/>
          <w:noProof w:val="0"/>
          <w:color w:val="auto"/>
          <w:lang w:val="en-GB"/>
        </w:rPr>
        <w:t xml:space="preserve">with </w:t>
      </w:r>
      <w:r>
        <w:rPr>
          <w:rFonts w:cs="Arial"/>
          <w:noProof w:val="0"/>
          <w:color w:val="auto"/>
          <w:lang w:val="en-GB"/>
        </w:rPr>
        <w:t xml:space="preserve">imperial-era </w:t>
      </w:r>
      <w:r w:rsidR="00865666" w:rsidRPr="00D45DD3">
        <w:rPr>
          <w:rFonts w:cs="Arial"/>
          <w:noProof w:val="0"/>
          <w:color w:val="auto"/>
          <w:lang w:val="en-GB"/>
        </w:rPr>
        <w:t>block</w:t>
      </w:r>
      <w:r>
        <w:rPr>
          <w:rFonts w:cs="Arial"/>
          <w:noProof w:val="0"/>
          <w:color w:val="auto"/>
          <w:lang w:val="en-GB"/>
        </w:rPr>
        <w:t>s of flats</w:t>
      </w:r>
      <w:r w:rsidR="00865666" w:rsidRPr="00D45DD3">
        <w:rPr>
          <w:rFonts w:cs="Arial"/>
          <w:noProof w:val="0"/>
          <w:color w:val="auto"/>
          <w:lang w:val="en-GB"/>
        </w:rPr>
        <w:t>.</w:t>
      </w:r>
      <w:r w:rsidR="00EA1887" w:rsidRPr="00D45DD3">
        <w:rPr>
          <w:rFonts w:cs="Arial"/>
          <w:noProof w:val="0"/>
          <w:color w:val="auto"/>
          <w:lang w:val="en-GB"/>
        </w:rPr>
        <w:t xml:space="preserve"> </w:t>
      </w:r>
      <w:r w:rsidR="00865666" w:rsidRPr="00D45DD3">
        <w:rPr>
          <w:rFonts w:cs="Arial"/>
          <w:noProof w:val="0"/>
          <w:color w:val="auto"/>
          <w:lang w:val="en-GB"/>
        </w:rPr>
        <w:t xml:space="preserve">On the other hand, satellite towns and </w:t>
      </w:r>
      <w:r>
        <w:rPr>
          <w:rFonts w:cs="Arial"/>
          <w:noProof w:val="0"/>
          <w:color w:val="auto"/>
          <w:lang w:val="en-GB"/>
        </w:rPr>
        <w:t>high-rise</w:t>
      </w:r>
      <w:r w:rsidR="00865666" w:rsidRPr="00D45DD3">
        <w:rPr>
          <w:rFonts w:cs="Arial"/>
          <w:noProof w:val="0"/>
          <w:color w:val="auto"/>
          <w:lang w:val="en-GB"/>
        </w:rPr>
        <w:t xml:space="preserve"> complexes </w:t>
      </w:r>
      <w:r>
        <w:rPr>
          <w:rFonts w:cs="Arial"/>
          <w:noProof w:val="0"/>
          <w:color w:val="auto"/>
          <w:lang w:val="en-GB"/>
        </w:rPr>
        <w:t>tend to be in the medium range</w:t>
      </w:r>
      <w:r w:rsidR="00865666" w:rsidRPr="00D45DD3">
        <w:rPr>
          <w:rFonts w:cs="Arial"/>
          <w:noProof w:val="0"/>
          <w:color w:val="auto"/>
          <w:lang w:val="en-GB"/>
        </w:rPr>
        <w:t>.</w:t>
      </w:r>
    </w:p>
    <w:p w:rsidR="005A52A4" w:rsidRPr="0098370B" w:rsidRDefault="00500C8B" w:rsidP="00B63C05">
      <w:pPr>
        <w:jc w:val="left"/>
        <w:rPr>
          <w:rFonts w:eastAsia="Arial Unicode MS" w:cs="Arial"/>
          <w:color w:val="auto"/>
          <w:sz w:val="16"/>
          <w:szCs w:val="16"/>
          <w:lang w:val="en-US"/>
        </w:rPr>
      </w:pPr>
      <w:r w:rsidRPr="00B53AA3">
        <w:rPr>
          <w:rFonts w:eastAsia="Arial Unicode MS" w:cs="Arial"/>
          <w:color w:val="auto"/>
          <w:sz w:val="16"/>
          <w:szCs w:val="16"/>
        </w:rPr>
        <w:lastRenderedPageBreak/>
        <w:drawing>
          <wp:inline distT="0" distB="0" distL="0" distR="0">
            <wp:extent cx="5838825" cy="4124325"/>
            <wp:effectExtent l="0" t="0" r="0" b="0"/>
            <wp:docPr id="4" name="Bild 4" descr=" Resident density in proportion to the average storey number per block (only blocks with resident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Resident density in proportion to the average storey number per block (only blocks with residential 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4124325"/>
                    </a:xfrm>
                    <a:prstGeom prst="rect">
                      <a:avLst/>
                    </a:prstGeom>
                    <a:noFill/>
                    <a:ln>
                      <a:noFill/>
                    </a:ln>
                  </pic:spPr>
                </pic:pic>
              </a:graphicData>
            </a:graphic>
          </wp:inline>
        </w:drawing>
      </w:r>
    </w:p>
    <w:p w:rsidR="003325AE" w:rsidRPr="00D45DD3" w:rsidRDefault="00D45DD3" w:rsidP="0053268B">
      <w:pPr>
        <w:pStyle w:val="Abbildung"/>
        <w:rPr>
          <w:lang w:val="en-GB"/>
        </w:rPr>
      </w:pPr>
      <w:r w:rsidRPr="00D45DD3">
        <w:rPr>
          <w:rFonts w:eastAsia="Arial Unicode MS"/>
          <w:lang w:val="en-GB"/>
        </w:rPr>
        <w:t xml:space="preserve">Fig. </w:t>
      </w:r>
      <w:r w:rsidR="00865666" w:rsidRPr="00D45DD3">
        <w:rPr>
          <w:rFonts w:eastAsia="Arial Unicode MS"/>
          <w:lang w:val="en-GB"/>
        </w:rPr>
        <w:t>4:</w:t>
      </w:r>
      <w:r w:rsidR="003325AE" w:rsidRPr="00D45DD3">
        <w:rPr>
          <w:rFonts w:eastAsia="Arial Unicode MS"/>
          <w:lang w:val="en-GB"/>
        </w:rPr>
        <w:t xml:space="preserve"> </w:t>
      </w:r>
      <w:r w:rsidR="0038436F">
        <w:rPr>
          <w:lang w:val="en-GB"/>
        </w:rPr>
        <w:t>Resident</w:t>
      </w:r>
      <w:r w:rsidR="0038436F" w:rsidRPr="00D45DD3">
        <w:rPr>
          <w:lang w:val="en-GB"/>
        </w:rPr>
        <w:t xml:space="preserve"> </w:t>
      </w:r>
      <w:r w:rsidR="00865666" w:rsidRPr="00D45DD3">
        <w:rPr>
          <w:lang w:val="en-GB"/>
        </w:rPr>
        <w:t xml:space="preserve">density in proportion to the average </w:t>
      </w:r>
      <w:r w:rsidR="0038436F">
        <w:rPr>
          <w:lang w:val="en-GB"/>
        </w:rPr>
        <w:t>storey</w:t>
      </w:r>
      <w:r w:rsidR="00865666" w:rsidRPr="00D45DD3">
        <w:rPr>
          <w:lang w:val="en-GB"/>
        </w:rPr>
        <w:t xml:space="preserve"> number</w:t>
      </w:r>
      <w:r w:rsidR="00865666" w:rsidRPr="0038436F">
        <w:rPr>
          <w:b/>
          <w:lang w:val="en-GB"/>
        </w:rPr>
        <w:t xml:space="preserve"> </w:t>
      </w:r>
      <w:r w:rsidR="00865666" w:rsidRPr="00D45DD3">
        <w:rPr>
          <w:lang w:val="en-GB"/>
        </w:rPr>
        <w:t xml:space="preserve">per block (only blocks with </w:t>
      </w:r>
      <w:r w:rsidR="0038436F">
        <w:rPr>
          <w:lang w:val="en-GB"/>
        </w:rPr>
        <w:t>residential</w:t>
      </w:r>
      <w:r w:rsidR="00865666" w:rsidRPr="00D45DD3">
        <w:rPr>
          <w:lang w:val="en-GB"/>
        </w:rPr>
        <w:t xml:space="preserve"> use)</w:t>
      </w:r>
    </w:p>
    <w:p w:rsidR="00EA1887" w:rsidRPr="00D45DD3" w:rsidRDefault="00FF47CE" w:rsidP="00EA1887">
      <w:pPr>
        <w:jc w:val="left"/>
        <w:rPr>
          <w:rFonts w:cs="Arial"/>
          <w:noProof w:val="0"/>
          <w:color w:val="auto"/>
          <w:lang w:val="en-GB"/>
        </w:rPr>
      </w:pPr>
      <w:r>
        <w:rPr>
          <w:rFonts w:cs="Arial"/>
          <w:noProof w:val="0"/>
          <w:color w:val="auto"/>
          <w:lang w:val="en-GB"/>
        </w:rPr>
        <w:t>Fig</w:t>
      </w:r>
      <w:r w:rsidR="00865666" w:rsidRPr="00D45DD3">
        <w:rPr>
          <w:rFonts w:cs="Arial"/>
          <w:noProof w:val="0"/>
          <w:color w:val="auto"/>
          <w:lang w:val="en-GB"/>
        </w:rPr>
        <w:t xml:space="preserve">. 4 </w:t>
      </w:r>
      <w:r w:rsidR="00B53AA3" w:rsidRPr="000D405A">
        <w:rPr>
          <w:lang w:val="en-US"/>
        </w:rPr>
        <w:t>shows the relationship between numbers of storeys and resident densities for the 12,278 blocks certified for use as residential areas, core areas, or mixed areas. It shows that in the blocks of flats examined, starting with numbers of storeys between 4 and 5, the population does not increase continuously with the number of storeys, but rather remains constant. This may be due to the fact that with an increased number of storeys, the need for infrastructure, such as shopping areas, car parks or recreation areas also increases, which counteracts the increase in resident density</w:t>
      </w:r>
      <w:r w:rsidR="00865666" w:rsidRPr="00D45DD3">
        <w:rPr>
          <w:rFonts w:cs="Arial"/>
          <w:noProof w:val="0"/>
          <w:color w:val="auto"/>
          <w:lang w:val="en-GB"/>
        </w:rPr>
        <w:t>.</w:t>
      </w:r>
    </w:p>
    <w:p w:rsidR="003325AE" w:rsidRPr="00D45DD3" w:rsidRDefault="0053268B" w:rsidP="009A5DDA">
      <w:pPr>
        <w:pStyle w:val="berschrift2"/>
        <w:rPr>
          <w:rFonts w:cs="Arial"/>
          <w:lang w:val="en-GB"/>
        </w:rPr>
      </w:pPr>
      <w:r>
        <w:rPr>
          <w:rFonts w:cs="Arial"/>
          <w:lang w:val="en-GB"/>
        </w:rPr>
        <w:t>Literature</w:t>
      </w:r>
    </w:p>
    <w:p w:rsidR="003325AE" w:rsidRPr="00D45DD3" w:rsidRDefault="00865666" w:rsidP="00713E13">
      <w:pPr>
        <w:pStyle w:val="LiKopf"/>
        <w:rPr>
          <w:lang w:val="en-GB"/>
        </w:rPr>
      </w:pPr>
      <w:r w:rsidRPr="00D45DD3">
        <w:rPr>
          <w:lang w:val="en-GB"/>
        </w:rPr>
        <w:t>[</w:t>
      </w:r>
      <w:r w:rsidR="00713E13">
        <w:rPr>
          <w:lang w:val="en-GB"/>
        </w:rPr>
        <w:t>1</w:t>
      </w:r>
      <w:r w:rsidRPr="00D45DD3">
        <w:rPr>
          <w:lang w:val="en-GB"/>
        </w:rPr>
        <w:t>]</w:t>
      </w:r>
      <w:r w:rsidR="003325AE" w:rsidRPr="00D45DD3">
        <w:rPr>
          <w:lang w:val="en-GB"/>
        </w:rPr>
        <w:tab/>
      </w:r>
      <w:r w:rsidR="0038436F" w:rsidRPr="00D45DD3">
        <w:rPr>
          <w:lang w:val="en-GB"/>
        </w:rPr>
        <w:t xml:space="preserve">Construction </w:t>
      </w:r>
      <w:r w:rsidR="0038436F">
        <w:rPr>
          <w:lang w:val="en-GB"/>
        </w:rPr>
        <w:t>Utilisation</w:t>
      </w:r>
      <w:r w:rsidR="0038436F" w:rsidRPr="00D45DD3">
        <w:rPr>
          <w:lang w:val="en-GB"/>
        </w:rPr>
        <w:t xml:space="preserve"> Ordinance </w:t>
      </w:r>
      <w:r w:rsidRPr="00D45DD3">
        <w:rPr>
          <w:lang w:val="en-GB"/>
        </w:rPr>
        <w:t>1990 (BauNVO)</w:t>
      </w:r>
      <w:r w:rsidR="00713E13">
        <w:rPr>
          <w:lang w:val="en-GB"/>
        </w:rPr>
        <w:t>:</w:t>
      </w:r>
    </w:p>
    <w:p w:rsidR="003325AE" w:rsidRPr="00D45DD3" w:rsidRDefault="003325AE" w:rsidP="009A5DDA">
      <w:pPr>
        <w:pStyle w:val="LiKoerper"/>
        <w:ind w:hanging="567"/>
        <w:jc w:val="left"/>
        <w:rPr>
          <w:rFonts w:cs="Arial"/>
          <w:lang w:val="en-GB"/>
        </w:rPr>
      </w:pPr>
      <w:r w:rsidRPr="000D405A">
        <w:rPr>
          <w:rFonts w:cs="Arial"/>
          <w:lang w:val="en-US"/>
        </w:rPr>
        <w:tab/>
      </w:r>
      <w:r w:rsidR="00713E13">
        <w:rPr>
          <w:rFonts w:cs="Arial"/>
          <w:lang w:val="en-GB"/>
        </w:rPr>
        <w:t>Internet:</w:t>
      </w:r>
      <w:r w:rsidR="00713E13">
        <w:rPr>
          <w:rFonts w:cs="Arial"/>
          <w:lang w:val="en-GB"/>
        </w:rPr>
        <w:br/>
      </w:r>
      <w:hyperlink r:id="rId11" w:history="1">
        <w:r w:rsidR="00865666" w:rsidRPr="00713E13">
          <w:rPr>
            <w:rStyle w:val="Hyperlink"/>
            <w:rFonts w:cs="Arial"/>
            <w:lang w:val="en-GB"/>
          </w:rPr>
          <w:t>http://bundesrecht.juris.de/bundesrecht/baunvo/gesamt.pdf</w:t>
        </w:r>
      </w:hyperlink>
      <w:r w:rsidR="00865666" w:rsidRPr="00D45DD3">
        <w:rPr>
          <w:rFonts w:cs="Arial"/>
          <w:lang w:val="en-GB"/>
        </w:rPr>
        <w:t xml:space="preserve"> (access</w:t>
      </w:r>
      <w:r w:rsidR="0038436F">
        <w:rPr>
          <w:rFonts w:cs="Arial"/>
          <w:lang w:val="en-GB"/>
        </w:rPr>
        <w:t xml:space="preserve">ed on </w:t>
      </w:r>
      <w:r w:rsidR="00865666" w:rsidRPr="00D45DD3">
        <w:rPr>
          <w:rFonts w:cs="Arial"/>
          <w:lang w:val="en-GB"/>
        </w:rPr>
        <w:t>7</w:t>
      </w:r>
      <w:r w:rsidR="0038436F">
        <w:rPr>
          <w:rFonts w:cs="Arial"/>
          <w:lang w:val="en-GB"/>
        </w:rPr>
        <w:t xml:space="preserve"> July </w:t>
      </w:r>
      <w:r w:rsidR="00865666" w:rsidRPr="00D45DD3">
        <w:rPr>
          <w:rFonts w:cs="Arial"/>
          <w:lang w:val="en-GB"/>
        </w:rPr>
        <w:t>2009)</w:t>
      </w:r>
      <w:r w:rsidR="0038436F">
        <w:rPr>
          <w:rFonts w:cs="Arial"/>
          <w:lang w:val="en-GB"/>
        </w:rPr>
        <w:t>.</w:t>
      </w:r>
    </w:p>
    <w:p w:rsidR="00713E13" w:rsidRDefault="00713E13" w:rsidP="00713E13">
      <w:pPr>
        <w:pStyle w:val="LiKopf"/>
        <w:rPr>
          <w:lang w:val="en-GB"/>
        </w:rPr>
      </w:pPr>
      <w:r w:rsidRPr="00D45DD3">
        <w:rPr>
          <w:lang w:val="en-GB"/>
        </w:rPr>
        <w:t>[</w:t>
      </w:r>
      <w:r>
        <w:rPr>
          <w:lang w:val="en-GB"/>
        </w:rPr>
        <w:t>2</w:t>
      </w:r>
      <w:r w:rsidRPr="00D45DD3">
        <w:rPr>
          <w:lang w:val="en-GB"/>
        </w:rPr>
        <w:t>]</w:t>
      </w:r>
      <w:r w:rsidRPr="00D45DD3">
        <w:rPr>
          <w:lang w:val="en-GB"/>
        </w:rPr>
        <w:tab/>
      </w:r>
      <w:r>
        <w:rPr>
          <w:lang w:val="en-GB"/>
        </w:rPr>
        <w:t>SenBauWohn (</w:t>
      </w:r>
      <w:r w:rsidRPr="0038436F">
        <w:rPr>
          <w:color w:val="000000"/>
          <w:lang w:val="en-US"/>
        </w:rPr>
        <w:t xml:space="preserve">Senate Department for </w:t>
      </w:r>
      <w:r w:rsidRPr="00D45DD3">
        <w:rPr>
          <w:lang w:val="en-GB"/>
        </w:rPr>
        <w:t>Construction and Housing</w:t>
      </w:r>
      <w:r>
        <w:rPr>
          <w:lang w:val="en-GB"/>
        </w:rPr>
        <w:t xml:space="preserve">) </w:t>
      </w:r>
      <w:r w:rsidRPr="00D45DD3">
        <w:rPr>
          <w:lang w:val="en-GB"/>
        </w:rPr>
        <w:t>1980</w:t>
      </w:r>
      <w:r>
        <w:rPr>
          <w:lang w:val="en-GB"/>
        </w:rPr>
        <w:t>:</w:t>
      </w:r>
    </w:p>
    <w:p w:rsidR="00713E13" w:rsidRPr="00D45DD3" w:rsidRDefault="00713E13" w:rsidP="00713E13">
      <w:pPr>
        <w:pStyle w:val="LiKoerper"/>
        <w:rPr>
          <w:lang w:val="en-GB"/>
        </w:rPr>
      </w:pPr>
      <w:r w:rsidRPr="000D405A">
        <w:rPr>
          <w:lang w:val="en-US"/>
        </w:rPr>
        <w:t>Stadtplanerische Tragfähigkeitsuntersuchung Berlin</w:t>
      </w:r>
      <w:r w:rsidRPr="003C1A0C">
        <w:rPr>
          <w:color w:val="000000"/>
          <w:lang w:val="en-US"/>
        </w:rPr>
        <w:t xml:space="preserve"> [urban development sustainability investigation]</w:t>
      </w:r>
      <w:r w:rsidRPr="003C1A0C">
        <w:rPr>
          <w:lang w:val="en-GB"/>
        </w:rPr>
        <w:t>,</w:t>
      </w:r>
      <w:r w:rsidRPr="00713E13">
        <w:rPr>
          <w:lang w:val="en-GB"/>
        </w:rPr>
        <w:t xml:space="preserve"> II a A</w:t>
      </w:r>
      <w:r>
        <w:rPr>
          <w:lang w:val="en-GB"/>
        </w:rPr>
        <w:t>,</w:t>
      </w:r>
      <w:r w:rsidRPr="003C1A0C">
        <w:rPr>
          <w:lang w:val="en-GB"/>
        </w:rPr>
        <w:t xml:space="preserve"> as of 1977/’78</w:t>
      </w:r>
      <w:r w:rsidRPr="00713E13">
        <w:rPr>
          <w:lang w:val="en-GB"/>
        </w:rPr>
        <w:t>.</w:t>
      </w:r>
    </w:p>
    <w:p w:rsidR="00713E13" w:rsidRPr="000D405A" w:rsidRDefault="00865666" w:rsidP="00713E13">
      <w:pPr>
        <w:pStyle w:val="LiKopf"/>
        <w:rPr>
          <w:lang w:val="en-US"/>
        </w:rPr>
      </w:pPr>
      <w:r w:rsidRPr="00D45DD3">
        <w:rPr>
          <w:rFonts w:cs="Arial"/>
          <w:lang w:val="en-GB"/>
        </w:rPr>
        <w:t>[</w:t>
      </w:r>
      <w:r w:rsidR="00713E13">
        <w:rPr>
          <w:rFonts w:cs="Arial"/>
          <w:lang w:val="en-GB"/>
        </w:rPr>
        <w:t>3</w:t>
      </w:r>
      <w:r w:rsidRPr="00D45DD3">
        <w:rPr>
          <w:rFonts w:cs="Arial"/>
          <w:lang w:val="en-GB"/>
        </w:rPr>
        <w:t>]</w:t>
      </w:r>
      <w:r w:rsidR="003325AE" w:rsidRPr="00D45DD3">
        <w:rPr>
          <w:rFonts w:cs="Arial"/>
          <w:lang w:val="en-GB"/>
        </w:rPr>
        <w:tab/>
      </w:r>
      <w:r w:rsidR="0038436F" w:rsidRPr="000D405A">
        <w:rPr>
          <w:lang w:val="en-US"/>
        </w:rPr>
        <w:t xml:space="preserve">SenStadt (Senate Department for Urban Development, Berlin) </w:t>
      </w:r>
      <w:r w:rsidR="00713E13" w:rsidRPr="000D405A">
        <w:rPr>
          <w:lang w:val="en-US"/>
        </w:rPr>
        <w:t>2005:</w:t>
      </w:r>
    </w:p>
    <w:p w:rsidR="003325AE" w:rsidRPr="000D405A" w:rsidRDefault="00713E13" w:rsidP="00713E13">
      <w:pPr>
        <w:pStyle w:val="LiKoerper"/>
        <w:rPr>
          <w:lang w:val="en-US"/>
        </w:rPr>
      </w:pPr>
      <w:r w:rsidRPr="000D405A">
        <w:rPr>
          <w:lang w:val="en-US"/>
        </w:rPr>
        <w:t>Flächennutzungsplan Berlin [</w:t>
      </w:r>
      <w:r w:rsidRPr="00713E13">
        <w:rPr>
          <w:lang w:val="en-GB"/>
        </w:rPr>
        <w:t xml:space="preserve">Berlin Land Use Plan] (FNP), </w:t>
      </w:r>
      <w:r w:rsidR="003C1A0C" w:rsidRPr="00713E13">
        <w:rPr>
          <w:lang w:val="en-GB"/>
        </w:rPr>
        <w:t>Section</w:t>
      </w:r>
      <w:r w:rsidR="00865666" w:rsidRPr="00713E13">
        <w:rPr>
          <w:lang w:val="en-GB"/>
        </w:rPr>
        <w:t xml:space="preserve"> IB </w:t>
      </w:r>
      <w:r w:rsidR="003C1A0C" w:rsidRPr="00713E13">
        <w:rPr>
          <w:lang w:val="en-GB"/>
        </w:rPr>
        <w:t>updated version,</w:t>
      </w:r>
      <w:r w:rsidR="00865666" w:rsidRPr="00713E13">
        <w:rPr>
          <w:lang w:val="en-GB"/>
        </w:rPr>
        <w:t xml:space="preserve"> </w:t>
      </w:r>
      <w:r w:rsidR="0038436F" w:rsidRPr="00713E13">
        <w:rPr>
          <w:lang w:val="en-GB"/>
        </w:rPr>
        <w:t xml:space="preserve">as of </w:t>
      </w:r>
      <w:r w:rsidR="00865666" w:rsidRPr="00713E13">
        <w:rPr>
          <w:lang w:val="en-GB"/>
        </w:rPr>
        <w:t>March 2005</w:t>
      </w:r>
      <w:r>
        <w:rPr>
          <w:lang w:val="en-GB"/>
        </w:rPr>
        <w:t>.</w:t>
      </w:r>
    </w:p>
    <w:p w:rsidR="003325AE" w:rsidRPr="00D45DD3" w:rsidRDefault="00025148" w:rsidP="009A5DDA">
      <w:pPr>
        <w:pStyle w:val="berschrift3"/>
        <w:rPr>
          <w:rFonts w:cs="Arial"/>
          <w:lang w:val="en-GB"/>
        </w:rPr>
      </w:pPr>
      <w:r w:rsidRPr="00D45DD3">
        <w:rPr>
          <w:rFonts w:cs="Arial"/>
          <w:lang w:val="en-GB"/>
        </w:rPr>
        <w:t>Maps</w:t>
      </w:r>
    </w:p>
    <w:p w:rsidR="003325AE" w:rsidRPr="00D45DD3" w:rsidRDefault="00865666" w:rsidP="00713E13">
      <w:pPr>
        <w:pStyle w:val="LiKopf"/>
        <w:rPr>
          <w:rFonts w:cs="Arial"/>
          <w:lang w:val="en-GB"/>
        </w:rPr>
      </w:pPr>
      <w:r w:rsidRPr="00D45DD3">
        <w:rPr>
          <w:rFonts w:cs="Arial"/>
          <w:lang w:val="en-GB"/>
        </w:rPr>
        <w:t>[</w:t>
      </w:r>
      <w:r w:rsidR="00713E13">
        <w:rPr>
          <w:rFonts w:cs="Arial"/>
          <w:lang w:val="en-GB"/>
        </w:rPr>
        <w:t>4</w:t>
      </w:r>
      <w:r w:rsidRPr="00D45DD3">
        <w:rPr>
          <w:rFonts w:cs="Arial"/>
          <w:lang w:val="en-GB"/>
        </w:rPr>
        <w:t>]</w:t>
      </w:r>
      <w:r w:rsidR="003325AE" w:rsidRPr="00D45DD3">
        <w:rPr>
          <w:rFonts w:cs="Arial"/>
          <w:lang w:val="en-GB"/>
        </w:rPr>
        <w:tab/>
      </w:r>
      <w:r w:rsidRPr="00D45DD3">
        <w:rPr>
          <w:rFonts w:cs="Arial"/>
          <w:lang w:val="en-GB"/>
        </w:rPr>
        <w:t>SenStadt (</w:t>
      </w:r>
      <w:r w:rsidR="0038436F" w:rsidRPr="000D405A">
        <w:rPr>
          <w:lang w:val="en-US"/>
        </w:rPr>
        <w:t>Senate Department for Urban Development, Berlin</w:t>
      </w:r>
      <w:r w:rsidRPr="00D45DD3">
        <w:rPr>
          <w:rFonts w:cs="Arial"/>
          <w:lang w:val="en-GB"/>
        </w:rPr>
        <w:t>) 20</w:t>
      </w:r>
      <w:r w:rsidR="00717F85">
        <w:rPr>
          <w:rFonts w:cs="Arial"/>
          <w:lang w:val="en-GB"/>
        </w:rPr>
        <w:t>10</w:t>
      </w:r>
      <w:r w:rsidRPr="00D45DD3">
        <w:rPr>
          <w:rFonts w:cs="Arial"/>
          <w:lang w:val="en-GB"/>
        </w:rPr>
        <w:t>:</w:t>
      </w:r>
    </w:p>
    <w:p w:rsidR="003325AE" w:rsidRPr="00D45DD3" w:rsidRDefault="00865666" w:rsidP="00713E13">
      <w:pPr>
        <w:pStyle w:val="LiKoerper"/>
        <w:rPr>
          <w:lang w:val="en-GB"/>
        </w:rPr>
      </w:pPr>
      <w:r w:rsidRPr="00D45DD3">
        <w:rPr>
          <w:lang w:val="en-GB"/>
        </w:rPr>
        <w:t xml:space="preserve">Block </w:t>
      </w:r>
      <w:r w:rsidR="00025148" w:rsidRPr="00D45DD3">
        <w:rPr>
          <w:lang w:val="en-GB"/>
        </w:rPr>
        <w:t>map</w:t>
      </w:r>
      <w:r w:rsidRPr="00D45DD3">
        <w:rPr>
          <w:lang w:val="en-GB"/>
        </w:rPr>
        <w:t xml:space="preserve"> 1:5000 (ISU5), </w:t>
      </w:r>
      <w:r w:rsidR="00713E13" w:rsidRPr="00D45DD3">
        <w:rPr>
          <w:lang w:val="en-GB"/>
        </w:rPr>
        <w:t xml:space="preserve">III F, </w:t>
      </w:r>
      <w:r w:rsidR="0038436F">
        <w:rPr>
          <w:b/>
          <w:lang w:val="en-GB"/>
        </w:rPr>
        <w:t xml:space="preserve">as of </w:t>
      </w:r>
      <w:r w:rsidRPr="00D45DD3">
        <w:rPr>
          <w:lang w:val="en-GB"/>
        </w:rPr>
        <w:t>31</w:t>
      </w:r>
      <w:r w:rsidR="0038436F">
        <w:rPr>
          <w:lang w:val="en-GB"/>
        </w:rPr>
        <w:t xml:space="preserve"> Dec. </w:t>
      </w:r>
      <w:r w:rsidRPr="00D45DD3">
        <w:rPr>
          <w:lang w:val="en-GB"/>
        </w:rPr>
        <w:t>20</w:t>
      </w:r>
      <w:r w:rsidR="00717F85">
        <w:rPr>
          <w:lang w:val="en-GB"/>
        </w:rPr>
        <w:t>10</w:t>
      </w:r>
      <w:r w:rsidRPr="00D45DD3">
        <w:rPr>
          <w:lang w:val="en-GB"/>
        </w:rPr>
        <w:t>, Berlin.</w:t>
      </w:r>
    </w:p>
    <w:p w:rsidR="003325AE" w:rsidRPr="00D45DD3" w:rsidRDefault="00865666" w:rsidP="00713E13">
      <w:pPr>
        <w:pStyle w:val="LiKopf"/>
        <w:rPr>
          <w:rFonts w:cs="Arial"/>
          <w:lang w:val="en-GB"/>
        </w:rPr>
      </w:pPr>
      <w:r w:rsidRPr="00D45DD3">
        <w:rPr>
          <w:rFonts w:cs="Arial"/>
          <w:lang w:val="en-GB"/>
        </w:rPr>
        <w:t>[</w:t>
      </w:r>
      <w:r w:rsidR="00713E13">
        <w:rPr>
          <w:rFonts w:cs="Arial"/>
          <w:lang w:val="en-GB"/>
        </w:rPr>
        <w:t>5</w:t>
      </w:r>
      <w:r w:rsidRPr="00D45DD3">
        <w:rPr>
          <w:rFonts w:cs="Arial"/>
          <w:lang w:val="en-GB"/>
        </w:rPr>
        <w:t>]</w:t>
      </w:r>
      <w:r w:rsidR="003325AE" w:rsidRPr="00D45DD3">
        <w:rPr>
          <w:rFonts w:cs="Arial"/>
          <w:lang w:val="en-GB"/>
        </w:rPr>
        <w:tab/>
      </w:r>
      <w:r w:rsidRPr="00D45DD3">
        <w:rPr>
          <w:rFonts w:cs="Arial"/>
          <w:lang w:val="en-GB"/>
        </w:rPr>
        <w:t>SenStadt (</w:t>
      </w:r>
      <w:r w:rsidR="0038436F" w:rsidRPr="0038436F">
        <w:rPr>
          <w:lang w:val="en-US"/>
        </w:rPr>
        <w:t>Senate Department for Urban Development, Berlin</w:t>
      </w:r>
      <w:r w:rsidRPr="00D45DD3">
        <w:rPr>
          <w:rFonts w:cs="Arial"/>
          <w:lang w:val="en-GB"/>
        </w:rPr>
        <w:t>) 20</w:t>
      </w:r>
      <w:r w:rsidR="00717F85">
        <w:rPr>
          <w:rFonts w:cs="Arial"/>
          <w:lang w:val="en-GB"/>
        </w:rPr>
        <w:t>11</w:t>
      </w:r>
      <w:r w:rsidRPr="00D45DD3">
        <w:rPr>
          <w:rFonts w:cs="Arial"/>
          <w:lang w:val="en-GB"/>
        </w:rPr>
        <w:t>:</w:t>
      </w:r>
    </w:p>
    <w:p w:rsidR="003325AE" w:rsidRPr="00D45DD3" w:rsidRDefault="00717F85" w:rsidP="00713E13">
      <w:pPr>
        <w:pStyle w:val="LiKoerper"/>
        <w:rPr>
          <w:lang w:val="en-GB"/>
        </w:rPr>
      </w:pPr>
      <w:r w:rsidRPr="00717F85">
        <w:rPr>
          <w:lang w:val="en-US"/>
        </w:rPr>
        <w:t>Map of building storeys, based on the Automated Property Map of Berlin (ALK) part of the Land Register</w:t>
      </w:r>
      <w:r w:rsidR="003C1A0C" w:rsidRPr="00717F85">
        <w:rPr>
          <w:lang w:val="en-US"/>
        </w:rPr>
        <w:t xml:space="preserve"> </w:t>
      </w:r>
      <w:r w:rsidR="00865666" w:rsidRPr="00D45DD3">
        <w:rPr>
          <w:lang w:val="en-GB"/>
        </w:rPr>
        <w:t>(</w:t>
      </w:r>
      <w:r w:rsidR="0038436F">
        <w:rPr>
          <w:lang w:val="en-GB"/>
        </w:rPr>
        <w:t xml:space="preserve">as of </w:t>
      </w:r>
      <w:r>
        <w:rPr>
          <w:lang w:val="en-GB"/>
        </w:rPr>
        <w:t>30</w:t>
      </w:r>
      <w:r w:rsidR="0038436F">
        <w:rPr>
          <w:lang w:val="en-GB"/>
        </w:rPr>
        <w:t xml:space="preserve"> J</w:t>
      </w:r>
      <w:r>
        <w:rPr>
          <w:lang w:val="en-GB"/>
        </w:rPr>
        <w:t>une</w:t>
      </w:r>
      <w:r w:rsidR="0038436F">
        <w:rPr>
          <w:lang w:val="en-GB"/>
        </w:rPr>
        <w:t xml:space="preserve"> </w:t>
      </w:r>
      <w:r w:rsidR="00865666" w:rsidRPr="00D45DD3">
        <w:rPr>
          <w:lang w:val="en-GB"/>
        </w:rPr>
        <w:t>20</w:t>
      </w:r>
      <w:r>
        <w:rPr>
          <w:lang w:val="en-GB"/>
        </w:rPr>
        <w:t>11</w:t>
      </w:r>
      <w:r w:rsidR="00865666" w:rsidRPr="00D45DD3">
        <w:rPr>
          <w:lang w:val="en-GB"/>
        </w:rPr>
        <w:t>)</w:t>
      </w:r>
    </w:p>
    <w:sectPr w:rsidR="003325AE" w:rsidRPr="00D45DD3" w:rsidSect="00C85E57">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1" w:h="16840" w:code="9"/>
      <w:pgMar w:top="1134" w:right="1134" w:bottom="1134" w:left="1701" w:header="720" w:footer="72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C8" w:rsidRDefault="005D23C8">
      <w:r>
        <w:separator/>
      </w:r>
    </w:p>
  </w:endnote>
  <w:endnote w:type="continuationSeparator" w:id="0">
    <w:p w:rsidR="005D23C8" w:rsidRDefault="005D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42" w:rsidRDefault="00B84042" w:rsidP="00704C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457D1">
      <w:rPr>
        <w:rStyle w:val="Seitenzahl"/>
      </w:rPr>
      <w:t>6</w:t>
    </w:r>
    <w:r>
      <w:rPr>
        <w:rStyle w:val="Seitenzahl"/>
      </w:rPr>
      <w:fldChar w:fldCharType="end"/>
    </w:r>
  </w:p>
  <w:p w:rsidR="00B84042" w:rsidRDefault="00B840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1" w:rsidRDefault="00C457D1" w:rsidP="00C457D1">
    <w:pPr>
      <w:pStyle w:val="Fuzeile"/>
      <w:jc w:val="center"/>
    </w:pPr>
    <w:r>
      <w:rPr>
        <w:rStyle w:val="Seitenzahl"/>
      </w:rPr>
      <w:fldChar w:fldCharType="begin"/>
    </w:r>
    <w:r>
      <w:rPr>
        <w:rStyle w:val="Seitenzahl"/>
      </w:rPr>
      <w:instrText xml:space="preserve"> PAGE </w:instrText>
    </w:r>
    <w:r>
      <w:rPr>
        <w:rStyle w:val="Seitenzahl"/>
      </w:rPr>
      <w:fldChar w:fldCharType="separate"/>
    </w:r>
    <w:r w:rsidR="00500C8B">
      <w:rPr>
        <w:rStyle w:val="Seitenzahl"/>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1" w:rsidRPr="00C457D1" w:rsidRDefault="00C457D1" w:rsidP="00C457D1">
    <w:pPr>
      <w:pStyle w:val="Fuzeile"/>
      <w:jc w:val="center"/>
    </w:pPr>
    <w:r>
      <w:rPr>
        <w:rStyle w:val="Seitenzahl"/>
      </w:rPr>
      <w:fldChar w:fldCharType="begin"/>
    </w:r>
    <w:r>
      <w:rPr>
        <w:rStyle w:val="Seitenzahl"/>
      </w:rPr>
      <w:instrText xml:space="preserve"> PAGE </w:instrText>
    </w:r>
    <w:r>
      <w:rPr>
        <w:rStyle w:val="Seitenzahl"/>
      </w:rPr>
      <w:fldChar w:fldCharType="separate"/>
    </w:r>
    <w:r w:rsidR="00500C8B">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C8" w:rsidRDefault="005D23C8">
      <w:r>
        <w:separator/>
      </w:r>
    </w:p>
  </w:footnote>
  <w:footnote w:type="continuationSeparator" w:id="0">
    <w:p w:rsidR="005D23C8" w:rsidRDefault="005D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42" w:rsidRDefault="00B84042">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42" w:rsidRDefault="00B8404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1" w:rsidRPr="00A35AF6" w:rsidRDefault="00500C8B" w:rsidP="00C457D1">
    <w:pPr>
      <w:pStyle w:val="Kopfzeile"/>
      <w:spacing w:after="0"/>
      <w:rPr>
        <w:rFonts w:ascii="Berlin CI Condensed Medium" w:hAnsi="Berlin CI Condensed Medium"/>
        <w:b/>
        <w:sz w:val="24"/>
        <w:szCs w:val="24"/>
        <w:lang w:val="en-US"/>
      </w:rPr>
    </w:pPr>
    <w:r w:rsidRPr="00A35AF6">
      <w:rPr>
        <w:rFonts w:ascii="Berlin CI Condensed Medium" w:hAnsi="Berlin CI Condensed Medium" w:cs="Arial"/>
        <w:b/>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2" name="Bild 2"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7D1" w:rsidRPr="00A35AF6">
      <w:rPr>
        <w:rFonts w:ascii="Berlin CI Condensed Medium" w:hAnsi="Berlin CI Condensed Medium"/>
        <w:b/>
        <w:sz w:val="24"/>
        <w:szCs w:val="24"/>
        <w:lang w:val="en-US"/>
      </w:rPr>
      <w:t xml:space="preserve">Senate Department for Urban Development </w:t>
    </w:r>
  </w:p>
  <w:p w:rsidR="00C457D1" w:rsidRPr="00C457D1" w:rsidRDefault="00C457D1" w:rsidP="00C457D1">
    <w:pPr>
      <w:pStyle w:val="Kopfzeile"/>
      <w:spacing w:after="0"/>
      <w:rPr>
        <w:rFonts w:ascii="Berlin CI Condensed Medium" w:hAnsi="Berlin CI Condensed Medium" w:cs="Arial"/>
        <w:b/>
        <w:sz w:val="24"/>
        <w:szCs w:val="24"/>
        <w:lang w:val="en-US"/>
      </w:rPr>
    </w:pPr>
    <w:r w:rsidRPr="00A35AF6">
      <w:rPr>
        <w:rFonts w:ascii="Berlin CI Condensed Medium" w:hAnsi="Berlin CI Condensed Medium"/>
        <w:b/>
        <w:sz w:val="24"/>
        <w:szCs w:val="24"/>
        <w:lang w:val="en-US"/>
      </w:rPr>
      <w:t>and the Environment</w:t>
    </w:r>
  </w:p>
  <w:p w:rsidR="00C457D1" w:rsidRPr="000D405A" w:rsidRDefault="00C457D1" w:rsidP="00C457D1">
    <w:pPr>
      <w:pStyle w:val="Kopfzeile"/>
      <w:spacing w:after="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EE1D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C26B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C2E7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FA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5615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A0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88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60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41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AC1B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7367A"/>
    <w:multiLevelType w:val="hybridMultilevel"/>
    <w:tmpl w:val="CAC2F5CA"/>
    <w:lvl w:ilvl="0" w:tplc="C2247B96">
      <w:numFmt w:val="bullet"/>
      <w:lvlText w:val="-"/>
      <w:lvlJc w:val="left"/>
      <w:pPr>
        <w:tabs>
          <w:tab w:val="num" w:pos="720"/>
        </w:tabs>
        <w:ind w:left="720" w:hanging="360"/>
      </w:pPr>
      <w:rPr>
        <w:rFonts w:ascii="Arial" w:eastAsia="Arial Unicode MS"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968F7"/>
    <w:multiLevelType w:val="hybridMultilevel"/>
    <w:tmpl w:val="139CA4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32016"/>
    <w:multiLevelType w:val="multilevel"/>
    <w:tmpl w:val="4B2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C68AD"/>
    <w:multiLevelType w:val="hybridMultilevel"/>
    <w:tmpl w:val="E5BCE4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360E5"/>
    <w:multiLevelType w:val="hybridMultilevel"/>
    <w:tmpl w:val="0BE801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13"/>
  </w:num>
  <w:num w:numId="24">
    <w:abstractNumId w:val="14"/>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AA"/>
    <w:rsid w:val="000104AC"/>
    <w:rsid w:val="0001059E"/>
    <w:rsid w:val="00010A11"/>
    <w:rsid w:val="00013C46"/>
    <w:rsid w:val="000149AC"/>
    <w:rsid w:val="0001765C"/>
    <w:rsid w:val="00021038"/>
    <w:rsid w:val="000222AA"/>
    <w:rsid w:val="00023489"/>
    <w:rsid w:val="00025148"/>
    <w:rsid w:val="00026F10"/>
    <w:rsid w:val="00026F5F"/>
    <w:rsid w:val="00027EFB"/>
    <w:rsid w:val="00035687"/>
    <w:rsid w:val="00042DC3"/>
    <w:rsid w:val="00043F55"/>
    <w:rsid w:val="000449EF"/>
    <w:rsid w:val="00057B73"/>
    <w:rsid w:val="00067D2F"/>
    <w:rsid w:val="0007722E"/>
    <w:rsid w:val="00077A1A"/>
    <w:rsid w:val="0008284E"/>
    <w:rsid w:val="00082DD6"/>
    <w:rsid w:val="0009020B"/>
    <w:rsid w:val="00091640"/>
    <w:rsid w:val="000967D9"/>
    <w:rsid w:val="000A0FAB"/>
    <w:rsid w:val="000B04F6"/>
    <w:rsid w:val="000B26AE"/>
    <w:rsid w:val="000B6B97"/>
    <w:rsid w:val="000C08C8"/>
    <w:rsid w:val="000C36EB"/>
    <w:rsid w:val="000C43B5"/>
    <w:rsid w:val="000C7E11"/>
    <w:rsid w:val="000D3B41"/>
    <w:rsid w:val="000D405A"/>
    <w:rsid w:val="000E3CAF"/>
    <w:rsid w:val="000F3CF4"/>
    <w:rsid w:val="00100A5C"/>
    <w:rsid w:val="001025F9"/>
    <w:rsid w:val="00103622"/>
    <w:rsid w:val="001055D0"/>
    <w:rsid w:val="00105FD1"/>
    <w:rsid w:val="00106A68"/>
    <w:rsid w:val="001077F8"/>
    <w:rsid w:val="00116EA4"/>
    <w:rsid w:val="0012119C"/>
    <w:rsid w:val="001227AE"/>
    <w:rsid w:val="00122A1C"/>
    <w:rsid w:val="001413BF"/>
    <w:rsid w:val="00145139"/>
    <w:rsid w:val="001468C8"/>
    <w:rsid w:val="00153392"/>
    <w:rsid w:val="00153A81"/>
    <w:rsid w:val="0016041F"/>
    <w:rsid w:val="00174D3B"/>
    <w:rsid w:val="001753AE"/>
    <w:rsid w:val="00180767"/>
    <w:rsid w:val="00184C9F"/>
    <w:rsid w:val="00185B1E"/>
    <w:rsid w:val="0019217C"/>
    <w:rsid w:val="001A2461"/>
    <w:rsid w:val="001A6976"/>
    <w:rsid w:val="001A7BAF"/>
    <w:rsid w:val="001B17E3"/>
    <w:rsid w:val="001B74A5"/>
    <w:rsid w:val="001D189B"/>
    <w:rsid w:val="001E2BFD"/>
    <w:rsid w:val="001E6C03"/>
    <w:rsid w:val="001E73A5"/>
    <w:rsid w:val="001F4508"/>
    <w:rsid w:val="001F6072"/>
    <w:rsid w:val="00200502"/>
    <w:rsid w:val="002037C9"/>
    <w:rsid w:val="00203CEA"/>
    <w:rsid w:val="0020406E"/>
    <w:rsid w:val="00205E92"/>
    <w:rsid w:val="00207958"/>
    <w:rsid w:val="002114F1"/>
    <w:rsid w:val="002250E5"/>
    <w:rsid w:val="00241CBF"/>
    <w:rsid w:val="002445C5"/>
    <w:rsid w:val="00244B3F"/>
    <w:rsid w:val="00245DBE"/>
    <w:rsid w:val="00253899"/>
    <w:rsid w:val="002636E3"/>
    <w:rsid w:val="00265ACE"/>
    <w:rsid w:val="002673B3"/>
    <w:rsid w:val="00270429"/>
    <w:rsid w:val="00284755"/>
    <w:rsid w:val="002864F4"/>
    <w:rsid w:val="00291870"/>
    <w:rsid w:val="0029228F"/>
    <w:rsid w:val="00294A5B"/>
    <w:rsid w:val="002A0E18"/>
    <w:rsid w:val="002A7A3D"/>
    <w:rsid w:val="002A7D7B"/>
    <w:rsid w:val="002B1436"/>
    <w:rsid w:val="002B55B5"/>
    <w:rsid w:val="002B5EBA"/>
    <w:rsid w:val="002C3EB4"/>
    <w:rsid w:val="002D391E"/>
    <w:rsid w:val="002D446D"/>
    <w:rsid w:val="002E16EB"/>
    <w:rsid w:val="002E3906"/>
    <w:rsid w:val="002F4455"/>
    <w:rsid w:val="00300D6E"/>
    <w:rsid w:val="00304F27"/>
    <w:rsid w:val="00306D32"/>
    <w:rsid w:val="00307482"/>
    <w:rsid w:val="003074AC"/>
    <w:rsid w:val="00311ECD"/>
    <w:rsid w:val="00325419"/>
    <w:rsid w:val="00327B1A"/>
    <w:rsid w:val="00330900"/>
    <w:rsid w:val="003325AE"/>
    <w:rsid w:val="00336D27"/>
    <w:rsid w:val="00342C81"/>
    <w:rsid w:val="00343657"/>
    <w:rsid w:val="0034625F"/>
    <w:rsid w:val="00363602"/>
    <w:rsid w:val="00365872"/>
    <w:rsid w:val="003662C3"/>
    <w:rsid w:val="00372A86"/>
    <w:rsid w:val="00374949"/>
    <w:rsid w:val="0038018C"/>
    <w:rsid w:val="00382842"/>
    <w:rsid w:val="003832B6"/>
    <w:rsid w:val="00384207"/>
    <w:rsid w:val="0038436F"/>
    <w:rsid w:val="00385905"/>
    <w:rsid w:val="00386684"/>
    <w:rsid w:val="00390997"/>
    <w:rsid w:val="00390B69"/>
    <w:rsid w:val="00394893"/>
    <w:rsid w:val="003A439B"/>
    <w:rsid w:val="003A5E80"/>
    <w:rsid w:val="003B183C"/>
    <w:rsid w:val="003B5104"/>
    <w:rsid w:val="003B5833"/>
    <w:rsid w:val="003C1A0C"/>
    <w:rsid w:val="003C2DE6"/>
    <w:rsid w:val="003C38C8"/>
    <w:rsid w:val="003C40D3"/>
    <w:rsid w:val="003C6A1C"/>
    <w:rsid w:val="003C78D4"/>
    <w:rsid w:val="003D376F"/>
    <w:rsid w:val="003D5A2E"/>
    <w:rsid w:val="003D640A"/>
    <w:rsid w:val="003E03D1"/>
    <w:rsid w:val="003E119A"/>
    <w:rsid w:val="003E4894"/>
    <w:rsid w:val="003E6751"/>
    <w:rsid w:val="003F1CB9"/>
    <w:rsid w:val="003F2864"/>
    <w:rsid w:val="003F7370"/>
    <w:rsid w:val="004012B6"/>
    <w:rsid w:val="00415F00"/>
    <w:rsid w:val="004171B4"/>
    <w:rsid w:val="00422019"/>
    <w:rsid w:val="0042799C"/>
    <w:rsid w:val="0043261F"/>
    <w:rsid w:val="004327AE"/>
    <w:rsid w:val="004348A9"/>
    <w:rsid w:val="00444591"/>
    <w:rsid w:val="004569B0"/>
    <w:rsid w:val="00463F67"/>
    <w:rsid w:val="0046405D"/>
    <w:rsid w:val="004649B5"/>
    <w:rsid w:val="00466AC6"/>
    <w:rsid w:val="004675F4"/>
    <w:rsid w:val="00467A2F"/>
    <w:rsid w:val="00470249"/>
    <w:rsid w:val="00470F2F"/>
    <w:rsid w:val="00481163"/>
    <w:rsid w:val="00490D81"/>
    <w:rsid w:val="004921FF"/>
    <w:rsid w:val="0049768F"/>
    <w:rsid w:val="004A6C0F"/>
    <w:rsid w:val="004B1435"/>
    <w:rsid w:val="004B265F"/>
    <w:rsid w:val="004B293D"/>
    <w:rsid w:val="004B3466"/>
    <w:rsid w:val="004B4A0F"/>
    <w:rsid w:val="004B5184"/>
    <w:rsid w:val="004B7827"/>
    <w:rsid w:val="004C2E0B"/>
    <w:rsid w:val="004C3BB4"/>
    <w:rsid w:val="004C4FCD"/>
    <w:rsid w:val="004D35F1"/>
    <w:rsid w:val="004E1059"/>
    <w:rsid w:val="004E1737"/>
    <w:rsid w:val="004E43D2"/>
    <w:rsid w:val="004F0C0F"/>
    <w:rsid w:val="004F27AA"/>
    <w:rsid w:val="004F4295"/>
    <w:rsid w:val="004F675E"/>
    <w:rsid w:val="00500C8B"/>
    <w:rsid w:val="00502898"/>
    <w:rsid w:val="00505112"/>
    <w:rsid w:val="00506686"/>
    <w:rsid w:val="0052090B"/>
    <w:rsid w:val="00522B86"/>
    <w:rsid w:val="005240FE"/>
    <w:rsid w:val="0052799E"/>
    <w:rsid w:val="00527E21"/>
    <w:rsid w:val="0053268B"/>
    <w:rsid w:val="00533E7B"/>
    <w:rsid w:val="00545207"/>
    <w:rsid w:val="005473AE"/>
    <w:rsid w:val="00551762"/>
    <w:rsid w:val="005521C0"/>
    <w:rsid w:val="00552A4C"/>
    <w:rsid w:val="00560BF9"/>
    <w:rsid w:val="0056773C"/>
    <w:rsid w:val="00591393"/>
    <w:rsid w:val="005A52A4"/>
    <w:rsid w:val="005A5BEC"/>
    <w:rsid w:val="005A74FC"/>
    <w:rsid w:val="005B0C13"/>
    <w:rsid w:val="005C0E28"/>
    <w:rsid w:val="005C190F"/>
    <w:rsid w:val="005D1CE1"/>
    <w:rsid w:val="005D23C8"/>
    <w:rsid w:val="005D2CB5"/>
    <w:rsid w:val="005D3860"/>
    <w:rsid w:val="005D6FEB"/>
    <w:rsid w:val="005E444B"/>
    <w:rsid w:val="005F06D0"/>
    <w:rsid w:val="005F4209"/>
    <w:rsid w:val="005F4918"/>
    <w:rsid w:val="005F6B56"/>
    <w:rsid w:val="006039FE"/>
    <w:rsid w:val="00623D17"/>
    <w:rsid w:val="00624FEF"/>
    <w:rsid w:val="0062707A"/>
    <w:rsid w:val="006313CE"/>
    <w:rsid w:val="00641291"/>
    <w:rsid w:val="00643E9D"/>
    <w:rsid w:val="006501CC"/>
    <w:rsid w:val="006509B3"/>
    <w:rsid w:val="00656B73"/>
    <w:rsid w:val="00661E64"/>
    <w:rsid w:val="00664F79"/>
    <w:rsid w:val="0067163A"/>
    <w:rsid w:val="00673765"/>
    <w:rsid w:val="00676686"/>
    <w:rsid w:val="00676F47"/>
    <w:rsid w:val="0068498A"/>
    <w:rsid w:val="00685968"/>
    <w:rsid w:val="00686ACE"/>
    <w:rsid w:val="0068743B"/>
    <w:rsid w:val="00691D99"/>
    <w:rsid w:val="0069255E"/>
    <w:rsid w:val="006A0FCC"/>
    <w:rsid w:val="006A387E"/>
    <w:rsid w:val="006C12F4"/>
    <w:rsid w:val="006C3EA2"/>
    <w:rsid w:val="006C5498"/>
    <w:rsid w:val="006D0D7F"/>
    <w:rsid w:val="006D524A"/>
    <w:rsid w:val="006E4545"/>
    <w:rsid w:val="006E4D69"/>
    <w:rsid w:val="00703417"/>
    <w:rsid w:val="00704C27"/>
    <w:rsid w:val="00711130"/>
    <w:rsid w:val="00713E13"/>
    <w:rsid w:val="00717F85"/>
    <w:rsid w:val="00730415"/>
    <w:rsid w:val="00734608"/>
    <w:rsid w:val="00737200"/>
    <w:rsid w:val="0074041B"/>
    <w:rsid w:val="00747F52"/>
    <w:rsid w:val="007512E1"/>
    <w:rsid w:val="00751991"/>
    <w:rsid w:val="00753B18"/>
    <w:rsid w:val="007630FB"/>
    <w:rsid w:val="00766C4D"/>
    <w:rsid w:val="00773494"/>
    <w:rsid w:val="00782E6E"/>
    <w:rsid w:val="00784A2C"/>
    <w:rsid w:val="00784F72"/>
    <w:rsid w:val="0078671B"/>
    <w:rsid w:val="007A7392"/>
    <w:rsid w:val="007B0AF0"/>
    <w:rsid w:val="007B5FFE"/>
    <w:rsid w:val="007C0989"/>
    <w:rsid w:val="007C37C3"/>
    <w:rsid w:val="007C7CE4"/>
    <w:rsid w:val="007F190F"/>
    <w:rsid w:val="007F270B"/>
    <w:rsid w:val="007F62E1"/>
    <w:rsid w:val="0081244C"/>
    <w:rsid w:val="00812E89"/>
    <w:rsid w:val="00815D47"/>
    <w:rsid w:val="0082160F"/>
    <w:rsid w:val="00824F88"/>
    <w:rsid w:val="008370AA"/>
    <w:rsid w:val="008401BB"/>
    <w:rsid w:val="008415DA"/>
    <w:rsid w:val="00843388"/>
    <w:rsid w:val="00846AC4"/>
    <w:rsid w:val="00847A68"/>
    <w:rsid w:val="00850BFD"/>
    <w:rsid w:val="008634A2"/>
    <w:rsid w:val="00865666"/>
    <w:rsid w:val="008659B1"/>
    <w:rsid w:val="00873D09"/>
    <w:rsid w:val="00882F81"/>
    <w:rsid w:val="00887FAF"/>
    <w:rsid w:val="00890CCE"/>
    <w:rsid w:val="008921B4"/>
    <w:rsid w:val="00892AF8"/>
    <w:rsid w:val="00897D67"/>
    <w:rsid w:val="008A3F0F"/>
    <w:rsid w:val="008A5BB6"/>
    <w:rsid w:val="008B2967"/>
    <w:rsid w:val="008B64CB"/>
    <w:rsid w:val="008B75B5"/>
    <w:rsid w:val="008C1503"/>
    <w:rsid w:val="008C3739"/>
    <w:rsid w:val="008C546E"/>
    <w:rsid w:val="008D24E9"/>
    <w:rsid w:val="008D4CEE"/>
    <w:rsid w:val="008E3096"/>
    <w:rsid w:val="008E730F"/>
    <w:rsid w:val="008F0672"/>
    <w:rsid w:val="008F4240"/>
    <w:rsid w:val="008F73CF"/>
    <w:rsid w:val="008F7FD5"/>
    <w:rsid w:val="00905528"/>
    <w:rsid w:val="00910FF1"/>
    <w:rsid w:val="009128CC"/>
    <w:rsid w:val="00912FD1"/>
    <w:rsid w:val="00913873"/>
    <w:rsid w:val="0092132D"/>
    <w:rsid w:val="00932BF9"/>
    <w:rsid w:val="0093412A"/>
    <w:rsid w:val="00934DB3"/>
    <w:rsid w:val="00935C37"/>
    <w:rsid w:val="00942C7D"/>
    <w:rsid w:val="00944EB2"/>
    <w:rsid w:val="00954CAE"/>
    <w:rsid w:val="00956E1C"/>
    <w:rsid w:val="00957697"/>
    <w:rsid w:val="009625E3"/>
    <w:rsid w:val="009739C7"/>
    <w:rsid w:val="00973BBF"/>
    <w:rsid w:val="00976AB2"/>
    <w:rsid w:val="00983077"/>
    <w:rsid w:val="0098370B"/>
    <w:rsid w:val="00990C0C"/>
    <w:rsid w:val="009A5DDA"/>
    <w:rsid w:val="009B1762"/>
    <w:rsid w:val="009B4CCA"/>
    <w:rsid w:val="009B6075"/>
    <w:rsid w:val="009B7076"/>
    <w:rsid w:val="009B7763"/>
    <w:rsid w:val="009C6682"/>
    <w:rsid w:val="009C6D00"/>
    <w:rsid w:val="009C7FB5"/>
    <w:rsid w:val="009D09B7"/>
    <w:rsid w:val="009D3B1E"/>
    <w:rsid w:val="009D4ABE"/>
    <w:rsid w:val="009D6B8A"/>
    <w:rsid w:val="009E5417"/>
    <w:rsid w:val="009F27C1"/>
    <w:rsid w:val="009F4D53"/>
    <w:rsid w:val="00A0765C"/>
    <w:rsid w:val="00A14C74"/>
    <w:rsid w:val="00A43DD0"/>
    <w:rsid w:val="00A53779"/>
    <w:rsid w:val="00A53C6D"/>
    <w:rsid w:val="00A54208"/>
    <w:rsid w:val="00A6404A"/>
    <w:rsid w:val="00A64F5D"/>
    <w:rsid w:val="00A6548B"/>
    <w:rsid w:val="00A66266"/>
    <w:rsid w:val="00A668FD"/>
    <w:rsid w:val="00A67624"/>
    <w:rsid w:val="00A72DBE"/>
    <w:rsid w:val="00A81D02"/>
    <w:rsid w:val="00A852CD"/>
    <w:rsid w:val="00A854CF"/>
    <w:rsid w:val="00AA341B"/>
    <w:rsid w:val="00AC44B3"/>
    <w:rsid w:val="00AC4726"/>
    <w:rsid w:val="00AD58CE"/>
    <w:rsid w:val="00AD6AC3"/>
    <w:rsid w:val="00AE78F4"/>
    <w:rsid w:val="00AF0F51"/>
    <w:rsid w:val="00AF3739"/>
    <w:rsid w:val="00AF4DB1"/>
    <w:rsid w:val="00B0342E"/>
    <w:rsid w:val="00B06C80"/>
    <w:rsid w:val="00B07BB2"/>
    <w:rsid w:val="00B10410"/>
    <w:rsid w:val="00B20FCA"/>
    <w:rsid w:val="00B224BC"/>
    <w:rsid w:val="00B34829"/>
    <w:rsid w:val="00B44789"/>
    <w:rsid w:val="00B45F4F"/>
    <w:rsid w:val="00B50833"/>
    <w:rsid w:val="00B51EB1"/>
    <w:rsid w:val="00B53AA3"/>
    <w:rsid w:val="00B57B5D"/>
    <w:rsid w:val="00B63C05"/>
    <w:rsid w:val="00B6470F"/>
    <w:rsid w:val="00B65B80"/>
    <w:rsid w:val="00B77292"/>
    <w:rsid w:val="00B80398"/>
    <w:rsid w:val="00B80C26"/>
    <w:rsid w:val="00B84042"/>
    <w:rsid w:val="00B86B67"/>
    <w:rsid w:val="00B86DF3"/>
    <w:rsid w:val="00B87767"/>
    <w:rsid w:val="00B95666"/>
    <w:rsid w:val="00BA03E8"/>
    <w:rsid w:val="00BB4506"/>
    <w:rsid w:val="00BB54CB"/>
    <w:rsid w:val="00BC30A8"/>
    <w:rsid w:val="00BC4288"/>
    <w:rsid w:val="00BD00BD"/>
    <w:rsid w:val="00BD06BE"/>
    <w:rsid w:val="00BD180B"/>
    <w:rsid w:val="00BD4A9A"/>
    <w:rsid w:val="00BD580E"/>
    <w:rsid w:val="00BD7F3A"/>
    <w:rsid w:val="00BE137D"/>
    <w:rsid w:val="00BF5F09"/>
    <w:rsid w:val="00C03DDA"/>
    <w:rsid w:val="00C11E88"/>
    <w:rsid w:val="00C13604"/>
    <w:rsid w:val="00C17700"/>
    <w:rsid w:val="00C22A73"/>
    <w:rsid w:val="00C31165"/>
    <w:rsid w:val="00C327BA"/>
    <w:rsid w:val="00C34283"/>
    <w:rsid w:val="00C40262"/>
    <w:rsid w:val="00C429A7"/>
    <w:rsid w:val="00C457D1"/>
    <w:rsid w:val="00C45DE1"/>
    <w:rsid w:val="00C514C1"/>
    <w:rsid w:val="00C6365B"/>
    <w:rsid w:val="00C64C5C"/>
    <w:rsid w:val="00C675DE"/>
    <w:rsid w:val="00C73185"/>
    <w:rsid w:val="00C82F86"/>
    <w:rsid w:val="00C8422C"/>
    <w:rsid w:val="00C85E57"/>
    <w:rsid w:val="00C915D0"/>
    <w:rsid w:val="00C96B62"/>
    <w:rsid w:val="00CA52A7"/>
    <w:rsid w:val="00CB1100"/>
    <w:rsid w:val="00CB489D"/>
    <w:rsid w:val="00CB4BFF"/>
    <w:rsid w:val="00CB7D74"/>
    <w:rsid w:val="00CC10CA"/>
    <w:rsid w:val="00CC7593"/>
    <w:rsid w:val="00CE0E50"/>
    <w:rsid w:val="00CF55D3"/>
    <w:rsid w:val="00CF5BCE"/>
    <w:rsid w:val="00D02549"/>
    <w:rsid w:val="00D035C0"/>
    <w:rsid w:val="00D11F95"/>
    <w:rsid w:val="00D12437"/>
    <w:rsid w:val="00D27CF4"/>
    <w:rsid w:val="00D33A5B"/>
    <w:rsid w:val="00D33FCB"/>
    <w:rsid w:val="00D34830"/>
    <w:rsid w:val="00D360D2"/>
    <w:rsid w:val="00D42DB7"/>
    <w:rsid w:val="00D45DD3"/>
    <w:rsid w:val="00D45E3E"/>
    <w:rsid w:val="00D5154B"/>
    <w:rsid w:val="00D54CC9"/>
    <w:rsid w:val="00D72EA8"/>
    <w:rsid w:val="00D74206"/>
    <w:rsid w:val="00D754E8"/>
    <w:rsid w:val="00D83024"/>
    <w:rsid w:val="00D83245"/>
    <w:rsid w:val="00D9119A"/>
    <w:rsid w:val="00D939C2"/>
    <w:rsid w:val="00D97369"/>
    <w:rsid w:val="00DA4870"/>
    <w:rsid w:val="00DA6378"/>
    <w:rsid w:val="00DA6D63"/>
    <w:rsid w:val="00DB2703"/>
    <w:rsid w:val="00DB4931"/>
    <w:rsid w:val="00DB6449"/>
    <w:rsid w:val="00DC7F03"/>
    <w:rsid w:val="00DD5855"/>
    <w:rsid w:val="00DE0FA4"/>
    <w:rsid w:val="00DE5861"/>
    <w:rsid w:val="00DF27CF"/>
    <w:rsid w:val="00E032E4"/>
    <w:rsid w:val="00E03446"/>
    <w:rsid w:val="00E03E33"/>
    <w:rsid w:val="00E10FC7"/>
    <w:rsid w:val="00E14F46"/>
    <w:rsid w:val="00E14FA6"/>
    <w:rsid w:val="00E16E77"/>
    <w:rsid w:val="00E2140F"/>
    <w:rsid w:val="00E246A3"/>
    <w:rsid w:val="00E2709C"/>
    <w:rsid w:val="00E41716"/>
    <w:rsid w:val="00E4432F"/>
    <w:rsid w:val="00E46516"/>
    <w:rsid w:val="00E46D79"/>
    <w:rsid w:val="00E51D49"/>
    <w:rsid w:val="00E529D9"/>
    <w:rsid w:val="00E6000D"/>
    <w:rsid w:val="00E61766"/>
    <w:rsid w:val="00E62CCB"/>
    <w:rsid w:val="00E63926"/>
    <w:rsid w:val="00E75A75"/>
    <w:rsid w:val="00E806F0"/>
    <w:rsid w:val="00E817C8"/>
    <w:rsid w:val="00E90842"/>
    <w:rsid w:val="00E90AA2"/>
    <w:rsid w:val="00E92E61"/>
    <w:rsid w:val="00E9454F"/>
    <w:rsid w:val="00EA1887"/>
    <w:rsid w:val="00EA478E"/>
    <w:rsid w:val="00EB0E53"/>
    <w:rsid w:val="00EB7DC2"/>
    <w:rsid w:val="00EE56C3"/>
    <w:rsid w:val="00EE67AA"/>
    <w:rsid w:val="00EE7ABF"/>
    <w:rsid w:val="00EF3733"/>
    <w:rsid w:val="00F07D25"/>
    <w:rsid w:val="00F16D85"/>
    <w:rsid w:val="00F205D9"/>
    <w:rsid w:val="00F21E34"/>
    <w:rsid w:val="00F230A8"/>
    <w:rsid w:val="00F265CF"/>
    <w:rsid w:val="00F37A6C"/>
    <w:rsid w:val="00F435A4"/>
    <w:rsid w:val="00F4559D"/>
    <w:rsid w:val="00F50603"/>
    <w:rsid w:val="00F51912"/>
    <w:rsid w:val="00F52A71"/>
    <w:rsid w:val="00F56A5C"/>
    <w:rsid w:val="00F56D98"/>
    <w:rsid w:val="00F60A7F"/>
    <w:rsid w:val="00F66D10"/>
    <w:rsid w:val="00F7407E"/>
    <w:rsid w:val="00F83AAD"/>
    <w:rsid w:val="00F8407A"/>
    <w:rsid w:val="00F859E9"/>
    <w:rsid w:val="00F85D53"/>
    <w:rsid w:val="00F929FE"/>
    <w:rsid w:val="00F97C86"/>
    <w:rsid w:val="00FA1195"/>
    <w:rsid w:val="00FA1319"/>
    <w:rsid w:val="00FA3543"/>
    <w:rsid w:val="00FA5F80"/>
    <w:rsid w:val="00FA78FC"/>
    <w:rsid w:val="00FB223A"/>
    <w:rsid w:val="00FB565B"/>
    <w:rsid w:val="00FB5B9C"/>
    <w:rsid w:val="00FB7F2B"/>
    <w:rsid w:val="00FC7033"/>
    <w:rsid w:val="00FD43C3"/>
    <w:rsid w:val="00FE1154"/>
    <w:rsid w:val="00FF30B4"/>
    <w:rsid w:val="00FF3472"/>
    <w:rsid w:val="00FF3999"/>
    <w:rsid w:val="00FF4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A49619-9145-4527-902F-40B5FB75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4F6"/>
    <w:pPr>
      <w:spacing w:after="120"/>
      <w:jc w:val="both"/>
    </w:pPr>
    <w:rPr>
      <w:rFonts w:ascii="Arial" w:hAnsi="Arial"/>
      <w:noProof/>
      <w:color w:val="000000"/>
    </w:rPr>
  </w:style>
  <w:style w:type="paragraph" w:styleId="berschrift1">
    <w:name w:val="heading 1"/>
    <w:basedOn w:val="Standard"/>
    <w:next w:val="Standard"/>
    <w:link w:val="berschrift1Zchn"/>
    <w:qFormat/>
    <w:rsid w:val="00E16E77"/>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basedOn w:val="Standard"/>
    <w:next w:val="Standard"/>
    <w:link w:val="berschrift2Zchn"/>
    <w:qFormat/>
    <w:rsid w:val="00E16E77"/>
    <w:pPr>
      <w:keepNext/>
      <w:keepLines/>
      <w:shd w:val="pct20" w:color="auto" w:fill="auto"/>
      <w:suppressAutoHyphens/>
      <w:spacing w:before="120"/>
      <w:jc w:val="left"/>
      <w:outlineLvl w:val="1"/>
    </w:pPr>
    <w:rPr>
      <w:noProof w:val="0"/>
      <w:color w:val="auto"/>
      <w:sz w:val="36"/>
    </w:rPr>
  </w:style>
  <w:style w:type="paragraph" w:styleId="berschrift3">
    <w:name w:val="heading 3"/>
    <w:basedOn w:val="berschrift2"/>
    <w:next w:val="Standard"/>
    <w:link w:val="berschrift3Zchn"/>
    <w:qFormat/>
    <w:rsid w:val="00E16E77"/>
    <w:pPr>
      <w:shd w:val="clear" w:color="auto" w:fill="auto"/>
      <w:outlineLvl w:val="2"/>
    </w:pPr>
    <w:rPr>
      <w:sz w:val="28"/>
    </w:rPr>
  </w:style>
  <w:style w:type="paragraph" w:styleId="berschrift4">
    <w:name w:val="heading 4"/>
    <w:basedOn w:val="berschrift3"/>
    <w:next w:val="Standard"/>
    <w:link w:val="berschrift4Zchn"/>
    <w:qFormat/>
    <w:rsid w:val="00E16E77"/>
    <w:pPr>
      <w:ind w:left="360"/>
      <w:outlineLvl w:val="3"/>
    </w:pPr>
  </w:style>
  <w:style w:type="paragraph" w:styleId="berschrift5">
    <w:name w:val="heading 5"/>
    <w:basedOn w:val="berschrift4"/>
    <w:next w:val="Standard"/>
    <w:link w:val="berschrift5Zchn"/>
    <w:qFormat/>
    <w:rsid w:val="00E16E77"/>
    <w:pPr>
      <w:outlineLvl w:val="4"/>
    </w:pPr>
  </w:style>
  <w:style w:type="paragraph" w:styleId="berschrift6">
    <w:name w:val="heading 6"/>
    <w:basedOn w:val="berschrift5"/>
    <w:next w:val="Standard"/>
    <w:link w:val="berschrift6Zchn"/>
    <w:qFormat/>
    <w:rsid w:val="00E16E77"/>
    <w:pPr>
      <w:outlineLvl w:val="5"/>
    </w:pPr>
  </w:style>
  <w:style w:type="paragraph" w:styleId="berschrift7">
    <w:name w:val="heading 7"/>
    <w:basedOn w:val="Standard"/>
    <w:next w:val="Standard"/>
    <w:link w:val="berschrift7Zchn"/>
    <w:qFormat/>
    <w:rsid w:val="00E16E77"/>
    <w:pPr>
      <w:spacing w:before="240" w:after="60"/>
      <w:outlineLvl w:val="6"/>
    </w:pPr>
  </w:style>
  <w:style w:type="paragraph" w:styleId="berschrift8">
    <w:name w:val="heading 8"/>
    <w:basedOn w:val="Standard"/>
    <w:next w:val="Standard"/>
    <w:link w:val="berschrift8Zchn"/>
    <w:qFormat/>
    <w:rsid w:val="00E16E77"/>
    <w:pPr>
      <w:spacing w:before="240" w:after="60"/>
      <w:outlineLvl w:val="7"/>
    </w:pPr>
    <w:rPr>
      <w:i/>
    </w:rPr>
  </w:style>
  <w:style w:type="paragraph" w:styleId="berschrift9">
    <w:name w:val="heading 9"/>
    <w:basedOn w:val="Standard"/>
    <w:next w:val="Standard"/>
    <w:link w:val="berschrift9Zchn"/>
    <w:qFormat/>
    <w:rsid w:val="00E16E77"/>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D035C0"/>
    <w:rPr>
      <w:rFonts w:ascii="Cambria" w:hAnsi="Cambria" w:cs="Times New Roman"/>
      <w:b/>
      <w:bCs/>
      <w:noProof/>
      <w:color w:val="000000"/>
      <w:kern w:val="32"/>
      <w:sz w:val="32"/>
      <w:szCs w:val="32"/>
    </w:rPr>
  </w:style>
  <w:style w:type="character" w:customStyle="1" w:styleId="berschrift2Zchn">
    <w:name w:val="Überschrift 2 Zchn"/>
    <w:link w:val="berschrift2"/>
    <w:semiHidden/>
    <w:locked/>
    <w:rsid w:val="00D035C0"/>
    <w:rPr>
      <w:rFonts w:ascii="Cambria" w:hAnsi="Cambria" w:cs="Times New Roman"/>
      <w:b/>
      <w:bCs/>
      <w:i/>
      <w:iCs/>
      <w:noProof/>
      <w:color w:val="000000"/>
      <w:sz w:val="28"/>
      <w:szCs w:val="28"/>
    </w:rPr>
  </w:style>
  <w:style w:type="character" w:customStyle="1" w:styleId="berschrift3Zchn">
    <w:name w:val="Überschrift 3 Zchn"/>
    <w:link w:val="berschrift3"/>
    <w:semiHidden/>
    <w:locked/>
    <w:rsid w:val="00D035C0"/>
    <w:rPr>
      <w:rFonts w:ascii="Cambria" w:hAnsi="Cambria" w:cs="Times New Roman"/>
      <w:b/>
      <w:bCs/>
      <w:noProof/>
      <w:color w:val="000000"/>
      <w:sz w:val="26"/>
      <w:szCs w:val="26"/>
    </w:rPr>
  </w:style>
  <w:style w:type="character" w:customStyle="1" w:styleId="berschrift4Zchn">
    <w:name w:val="Überschrift 4 Zchn"/>
    <w:link w:val="berschrift4"/>
    <w:semiHidden/>
    <w:locked/>
    <w:rsid w:val="00D035C0"/>
    <w:rPr>
      <w:rFonts w:ascii="Calibri" w:hAnsi="Calibri" w:cs="Times New Roman"/>
      <w:b/>
      <w:bCs/>
      <w:noProof/>
      <w:color w:val="000000"/>
      <w:sz w:val="28"/>
      <w:szCs w:val="28"/>
    </w:rPr>
  </w:style>
  <w:style w:type="character" w:customStyle="1" w:styleId="berschrift5Zchn">
    <w:name w:val="Überschrift 5 Zchn"/>
    <w:link w:val="berschrift5"/>
    <w:semiHidden/>
    <w:locked/>
    <w:rsid w:val="00D035C0"/>
    <w:rPr>
      <w:rFonts w:ascii="Calibri" w:hAnsi="Calibri" w:cs="Times New Roman"/>
      <w:b/>
      <w:bCs/>
      <w:i/>
      <w:iCs/>
      <w:noProof/>
      <w:color w:val="000000"/>
      <w:sz w:val="26"/>
      <w:szCs w:val="26"/>
    </w:rPr>
  </w:style>
  <w:style w:type="character" w:customStyle="1" w:styleId="berschrift6Zchn">
    <w:name w:val="Überschrift 6 Zchn"/>
    <w:link w:val="berschrift6"/>
    <w:semiHidden/>
    <w:locked/>
    <w:rsid w:val="00D035C0"/>
    <w:rPr>
      <w:rFonts w:ascii="Calibri" w:hAnsi="Calibri" w:cs="Times New Roman"/>
      <w:b/>
      <w:bCs/>
      <w:noProof/>
      <w:color w:val="000000"/>
    </w:rPr>
  </w:style>
  <w:style w:type="character" w:customStyle="1" w:styleId="berschrift7Zchn">
    <w:name w:val="Überschrift 7 Zchn"/>
    <w:link w:val="berschrift7"/>
    <w:semiHidden/>
    <w:locked/>
    <w:rsid w:val="00D035C0"/>
    <w:rPr>
      <w:rFonts w:ascii="Calibri" w:hAnsi="Calibri" w:cs="Times New Roman"/>
      <w:noProof/>
      <w:color w:val="000000"/>
      <w:sz w:val="24"/>
      <w:szCs w:val="24"/>
    </w:rPr>
  </w:style>
  <w:style w:type="character" w:customStyle="1" w:styleId="berschrift8Zchn">
    <w:name w:val="Überschrift 8 Zchn"/>
    <w:link w:val="berschrift8"/>
    <w:semiHidden/>
    <w:locked/>
    <w:rsid w:val="00D035C0"/>
    <w:rPr>
      <w:rFonts w:ascii="Calibri" w:hAnsi="Calibri" w:cs="Times New Roman"/>
      <w:i/>
      <w:iCs/>
      <w:noProof/>
      <w:color w:val="000000"/>
      <w:sz w:val="24"/>
      <w:szCs w:val="24"/>
    </w:rPr>
  </w:style>
  <w:style w:type="character" w:customStyle="1" w:styleId="berschrift9Zchn">
    <w:name w:val="Überschrift 9 Zchn"/>
    <w:link w:val="berschrift9"/>
    <w:semiHidden/>
    <w:locked/>
    <w:rsid w:val="00D035C0"/>
    <w:rPr>
      <w:rFonts w:ascii="Cambria" w:hAnsi="Cambria" w:cs="Times New Roman"/>
      <w:noProof/>
      <w:color w:val="000000"/>
    </w:rPr>
  </w:style>
  <w:style w:type="paragraph" w:customStyle="1" w:styleId="Aufzhlung">
    <w:name w:val="Aufzählung"/>
    <w:basedOn w:val="Standard"/>
    <w:rsid w:val="00E16E77"/>
    <w:pPr>
      <w:tabs>
        <w:tab w:val="left" w:pos="280"/>
      </w:tabs>
      <w:ind w:left="280" w:hanging="280"/>
    </w:pPr>
  </w:style>
  <w:style w:type="paragraph" w:customStyle="1" w:styleId="Abbildung">
    <w:name w:val="Abbildung"/>
    <w:basedOn w:val="Standard"/>
    <w:next w:val="Standard"/>
    <w:rsid w:val="00E16E77"/>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autoRedefine/>
    <w:rsid w:val="00E03E33"/>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noProof w:val="0"/>
    </w:rPr>
  </w:style>
  <w:style w:type="paragraph" w:customStyle="1" w:styleId="LiKopf">
    <w:name w:val="Li_Kopf"/>
    <w:rsid w:val="00E16E77"/>
    <w:pPr>
      <w:keepNext/>
      <w:keepLines/>
      <w:ind w:left="567" w:hanging="567"/>
      <w:jc w:val="both"/>
    </w:pPr>
    <w:rPr>
      <w:rFonts w:ascii="Arial" w:hAnsi="Arial"/>
      <w:b/>
    </w:rPr>
  </w:style>
  <w:style w:type="paragraph" w:customStyle="1" w:styleId="LiKoerper">
    <w:name w:val="Li_Koerper"/>
    <w:basedOn w:val="LiKopf"/>
    <w:rsid w:val="00E16E77"/>
    <w:pPr>
      <w:keepNext w:val="0"/>
      <w:keepLines w:val="0"/>
      <w:spacing w:after="120"/>
      <w:ind w:firstLine="0"/>
    </w:pPr>
    <w:rPr>
      <w:b w:val="0"/>
    </w:rPr>
  </w:style>
  <w:style w:type="paragraph" w:styleId="Kopfzeile">
    <w:name w:val="header"/>
    <w:basedOn w:val="Standard"/>
    <w:link w:val="KopfzeileZchn"/>
    <w:rsid w:val="00E16E77"/>
    <w:pPr>
      <w:tabs>
        <w:tab w:val="center" w:pos="4536"/>
        <w:tab w:val="right" w:pos="9072"/>
      </w:tabs>
    </w:pPr>
  </w:style>
  <w:style w:type="character" w:customStyle="1" w:styleId="KopfzeileZchn">
    <w:name w:val="Kopfzeile Zchn"/>
    <w:link w:val="Kopfzeile"/>
    <w:semiHidden/>
    <w:locked/>
    <w:rsid w:val="00D035C0"/>
    <w:rPr>
      <w:rFonts w:ascii="Arial" w:hAnsi="Arial" w:cs="Times New Roman"/>
      <w:noProof/>
      <w:color w:val="000000"/>
      <w:sz w:val="20"/>
      <w:szCs w:val="20"/>
    </w:rPr>
  </w:style>
  <w:style w:type="paragraph" w:styleId="Fuzeile">
    <w:name w:val="footer"/>
    <w:basedOn w:val="Standard"/>
    <w:link w:val="FuzeileZchn"/>
    <w:rsid w:val="00E16E77"/>
    <w:pPr>
      <w:tabs>
        <w:tab w:val="center" w:pos="4536"/>
        <w:tab w:val="right" w:pos="9072"/>
      </w:tabs>
    </w:pPr>
  </w:style>
  <w:style w:type="character" w:customStyle="1" w:styleId="FuzeileZchn">
    <w:name w:val="Fußzeile Zchn"/>
    <w:link w:val="Fuzeile"/>
    <w:semiHidden/>
    <w:locked/>
    <w:rsid w:val="00D035C0"/>
    <w:rPr>
      <w:rFonts w:ascii="Arial" w:hAnsi="Arial" w:cs="Times New Roman"/>
      <w:noProof/>
      <w:color w:val="000000"/>
      <w:sz w:val="20"/>
      <w:szCs w:val="20"/>
    </w:rPr>
  </w:style>
  <w:style w:type="character" w:styleId="Seitenzahl">
    <w:name w:val="page number"/>
    <w:rsid w:val="00E16E77"/>
    <w:rPr>
      <w:rFonts w:cs="Times New Roman"/>
    </w:rPr>
  </w:style>
  <w:style w:type="paragraph" w:styleId="Abbildungsverzeichnis">
    <w:name w:val="table of figures"/>
    <w:basedOn w:val="Standard"/>
    <w:next w:val="Standard"/>
    <w:semiHidden/>
    <w:rsid w:val="00E16E77"/>
    <w:pPr>
      <w:ind w:left="400" w:hanging="400"/>
    </w:pPr>
  </w:style>
  <w:style w:type="paragraph" w:styleId="Umschlagabsenderadresse">
    <w:name w:val="envelope return"/>
    <w:basedOn w:val="Standard"/>
    <w:rsid w:val="00E16E77"/>
  </w:style>
  <w:style w:type="paragraph" w:customStyle="1" w:styleId="Anrede1">
    <w:name w:val="Anrede1"/>
    <w:basedOn w:val="Standard"/>
    <w:next w:val="Standard"/>
    <w:rsid w:val="00E16E77"/>
  </w:style>
  <w:style w:type="paragraph" w:styleId="Aufzhlungszeichen">
    <w:name w:val="List Bullet"/>
    <w:basedOn w:val="Standard"/>
    <w:rsid w:val="00E16E77"/>
    <w:pPr>
      <w:tabs>
        <w:tab w:val="num" w:pos="360"/>
      </w:tabs>
      <w:ind w:left="360" w:hanging="360"/>
    </w:pPr>
  </w:style>
  <w:style w:type="paragraph" w:styleId="Aufzhlungszeichen2">
    <w:name w:val="List Bullet 2"/>
    <w:basedOn w:val="Standard"/>
    <w:rsid w:val="00E16E77"/>
    <w:pPr>
      <w:tabs>
        <w:tab w:val="num" w:pos="643"/>
      </w:tabs>
      <w:ind w:left="643" w:hanging="360"/>
    </w:pPr>
  </w:style>
  <w:style w:type="paragraph" w:styleId="Aufzhlungszeichen3">
    <w:name w:val="List Bullet 3"/>
    <w:basedOn w:val="Standard"/>
    <w:rsid w:val="00E16E77"/>
    <w:pPr>
      <w:tabs>
        <w:tab w:val="num" w:pos="926"/>
      </w:tabs>
      <w:ind w:left="926" w:hanging="360"/>
    </w:pPr>
  </w:style>
  <w:style w:type="paragraph" w:styleId="Aufzhlungszeichen4">
    <w:name w:val="List Bullet 4"/>
    <w:basedOn w:val="Standard"/>
    <w:rsid w:val="00E16E77"/>
    <w:pPr>
      <w:tabs>
        <w:tab w:val="num" w:pos="1209"/>
      </w:tabs>
      <w:ind w:left="1209" w:hanging="360"/>
    </w:pPr>
  </w:style>
  <w:style w:type="paragraph" w:styleId="Aufzhlungszeichen5">
    <w:name w:val="List Bullet 5"/>
    <w:basedOn w:val="Standard"/>
    <w:rsid w:val="00E16E77"/>
    <w:pPr>
      <w:tabs>
        <w:tab w:val="num" w:pos="1492"/>
      </w:tabs>
      <w:ind w:left="1492" w:hanging="360"/>
    </w:pPr>
  </w:style>
  <w:style w:type="paragraph" w:styleId="Beschriftung">
    <w:name w:val="caption"/>
    <w:basedOn w:val="Standard"/>
    <w:next w:val="Standard"/>
    <w:qFormat/>
    <w:rsid w:val="00E16E77"/>
    <w:pPr>
      <w:spacing w:before="120"/>
    </w:pPr>
    <w:rPr>
      <w:b/>
    </w:rPr>
  </w:style>
  <w:style w:type="paragraph" w:customStyle="1" w:styleId="Blocktext1">
    <w:name w:val="Blocktext1"/>
    <w:basedOn w:val="Standard"/>
    <w:rsid w:val="00E16E77"/>
    <w:pPr>
      <w:ind w:left="1440" w:right="1440"/>
    </w:pPr>
  </w:style>
  <w:style w:type="paragraph" w:customStyle="1" w:styleId="Datum1">
    <w:name w:val="Datum1"/>
    <w:basedOn w:val="Standard"/>
    <w:next w:val="Standard"/>
    <w:rsid w:val="00E16E77"/>
  </w:style>
  <w:style w:type="paragraph" w:customStyle="1" w:styleId="Dokumentstruktur1">
    <w:name w:val="Dokumentstruktur1"/>
    <w:basedOn w:val="Standard"/>
    <w:rsid w:val="00E16E77"/>
    <w:pPr>
      <w:shd w:val="clear" w:color="auto" w:fill="000080"/>
    </w:pPr>
    <w:rPr>
      <w:rFonts w:ascii="Tahoma" w:hAnsi="Tahoma"/>
    </w:rPr>
  </w:style>
  <w:style w:type="paragraph" w:styleId="Endnotentext">
    <w:name w:val="endnote text"/>
    <w:basedOn w:val="Standard"/>
    <w:link w:val="EndnotentextZchn"/>
    <w:semiHidden/>
    <w:rsid w:val="00E16E77"/>
  </w:style>
  <w:style w:type="character" w:customStyle="1" w:styleId="EndnotentextZchn">
    <w:name w:val="Endnotentext Zchn"/>
    <w:link w:val="Endnotentext"/>
    <w:semiHidden/>
    <w:locked/>
    <w:rsid w:val="00D035C0"/>
    <w:rPr>
      <w:rFonts w:ascii="Arial" w:hAnsi="Arial" w:cs="Times New Roman"/>
      <w:noProof/>
      <w:color w:val="000000"/>
      <w:sz w:val="20"/>
      <w:szCs w:val="20"/>
    </w:rPr>
  </w:style>
  <w:style w:type="paragraph" w:customStyle="1" w:styleId="Fu-Endnotenberschrift1">
    <w:name w:val="Fuß/-Endnotenüberschrift1"/>
    <w:basedOn w:val="Standard"/>
    <w:next w:val="Standard"/>
    <w:rsid w:val="00E16E77"/>
  </w:style>
  <w:style w:type="paragraph" w:styleId="Funotentext">
    <w:name w:val="footnote text"/>
    <w:basedOn w:val="Standard"/>
    <w:link w:val="FunotentextZchn"/>
    <w:semiHidden/>
    <w:rsid w:val="00E16E77"/>
  </w:style>
  <w:style w:type="character" w:customStyle="1" w:styleId="FunotentextZchn">
    <w:name w:val="Fußnotentext Zchn"/>
    <w:link w:val="Funotentext"/>
    <w:semiHidden/>
    <w:locked/>
    <w:rsid w:val="00D035C0"/>
    <w:rPr>
      <w:rFonts w:ascii="Arial" w:hAnsi="Arial" w:cs="Times New Roman"/>
      <w:noProof/>
      <w:color w:val="000000"/>
      <w:sz w:val="20"/>
      <w:szCs w:val="20"/>
    </w:rPr>
  </w:style>
  <w:style w:type="paragraph" w:styleId="Gruformel">
    <w:name w:val="Closing"/>
    <w:basedOn w:val="Standard"/>
    <w:link w:val="GruformelZchn"/>
    <w:rsid w:val="00E16E77"/>
    <w:pPr>
      <w:ind w:left="4252"/>
    </w:pPr>
  </w:style>
  <w:style w:type="character" w:customStyle="1" w:styleId="GruformelZchn">
    <w:name w:val="Grußformel Zchn"/>
    <w:link w:val="Gruformel"/>
    <w:semiHidden/>
    <w:locked/>
    <w:rsid w:val="00D035C0"/>
    <w:rPr>
      <w:rFonts w:ascii="Arial" w:hAnsi="Arial" w:cs="Times New Roman"/>
      <w:noProof/>
      <w:color w:val="000000"/>
      <w:sz w:val="20"/>
      <w:szCs w:val="20"/>
    </w:rPr>
  </w:style>
  <w:style w:type="paragraph" w:styleId="Index1">
    <w:name w:val="index 1"/>
    <w:basedOn w:val="Standard"/>
    <w:next w:val="Standard"/>
    <w:semiHidden/>
    <w:rsid w:val="00E16E77"/>
    <w:pPr>
      <w:ind w:left="200" w:hanging="200"/>
    </w:pPr>
  </w:style>
  <w:style w:type="paragraph" w:styleId="Index2">
    <w:name w:val="index 2"/>
    <w:basedOn w:val="Standard"/>
    <w:next w:val="Standard"/>
    <w:semiHidden/>
    <w:rsid w:val="00E16E77"/>
    <w:pPr>
      <w:ind w:left="400" w:hanging="200"/>
    </w:pPr>
  </w:style>
  <w:style w:type="paragraph" w:styleId="Index3">
    <w:name w:val="index 3"/>
    <w:basedOn w:val="Standard"/>
    <w:next w:val="Standard"/>
    <w:semiHidden/>
    <w:rsid w:val="00E16E77"/>
    <w:pPr>
      <w:ind w:left="600" w:hanging="200"/>
    </w:pPr>
  </w:style>
  <w:style w:type="paragraph" w:styleId="Index4">
    <w:name w:val="index 4"/>
    <w:basedOn w:val="Standard"/>
    <w:next w:val="Standard"/>
    <w:semiHidden/>
    <w:rsid w:val="00E16E77"/>
    <w:pPr>
      <w:ind w:left="800" w:hanging="200"/>
    </w:pPr>
  </w:style>
  <w:style w:type="paragraph" w:styleId="Index5">
    <w:name w:val="index 5"/>
    <w:basedOn w:val="Standard"/>
    <w:next w:val="Standard"/>
    <w:semiHidden/>
    <w:rsid w:val="00E16E77"/>
    <w:pPr>
      <w:ind w:left="1000" w:hanging="200"/>
    </w:pPr>
  </w:style>
  <w:style w:type="paragraph" w:styleId="Index6">
    <w:name w:val="index 6"/>
    <w:basedOn w:val="Standard"/>
    <w:next w:val="Standard"/>
    <w:semiHidden/>
    <w:rsid w:val="00E16E77"/>
    <w:pPr>
      <w:ind w:left="1200" w:hanging="200"/>
    </w:pPr>
  </w:style>
  <w:style w:type="paragraph" w:styleId="Index7">
    <w:name w:val="index 7"/>
    <w:basedOn w:val="Standard"/>
    <w:next w:val="Standard"/>
    <w:semiHidden/>
    <w:rsid w:val="00E16E77"/>
    <w:pPr>
      <w:ind w:left="1400" w:hanging="200"/>
    </w:pPr>
  </w:style>
  <w:style w:type="paragraph" w:styleId="Index8">
    <w:name w:val="index 8"/>
    <w:basedOn w:val="Standard"/>
    <w:next w:val="Standard"/>
    <w:semiHidden/>
    <w:rsid w:val="00E16E77"/>
    <w:pPr>
      <w:ind w:left="1600" w:hanging="200"/>
    </w:pPr>
  </w:style>
  <w:style w:type="paragraph" w:styleId="Index9">
    <w:name w:val="index 9"/>
    <w:basedOn w:val="Standard"/>
    <w:next w:val="Standard"/>
    <w:semiHidden/>
    <w:rsid w:val="00E16E77"/>
    <w:pPr>
      <w:ind w:left="1800" w:hanging="200"/>
    </w:pPr>
  </w:style>
  <w:style w:type="paragraph" w:styleId="Indexberschrift">
    <w:name w:val="index heading"/>
    <w:basedOn w:val="Standard"/>
    <w:next w:val="Index1"/>
    <w:semiHidden/>
    <w:rsid w:val="00E16E77"/>
    <w:rPr>
      <w:b/>
    </w:rPr>
  </w:style>
  <w:style w:type="paragraph" w:styleId="Kommentartext">
    <w:name w:val="annotation text"/>
    <w:basedOn w:val="Standard"/>
    <w:link w:val="KommentartextZchn"/>
    <w:semiHidden/>
    <w:rsid w:val="00E16E77"/>
  </w:style>
  <w:style w:type="character" w:customStyle="1" w:styleId="KommentartextZchn">
    <w:name w:val="Kommentartext Zchn"/>
    <w:link w:val="Kommentartext"/>
    <w:semiHidden/>
    <w:locked/>
    <w:rsid w:val="00D035C0"/>
    <w:rPr>
      <w:rFonts w:ascii="Arial" w:hAnsi="Arial" w:cs="Times New Roman"/>
      <w:noProof/>
      <w:color w:val="000000"/>
      <w:sz w:val="20"/>
      <w:szCs w:val="20"/>
    </w:rPr>
  </w:style>
  <w:style w:type="paragraph" w:styleId="Liste">
    <w:name w:val="List"/>
    <w:basedOn w:val="Standard"/>
    <w:rsid w:val="00E16E77"/>
    <w:pPr>
      <w:ind w:left="283" w:hanging="283"/>
    </w:pPr>
  </w:style>
  <w:style w:type="paragraph" w:styleId="Liste2">
    <w:name w:val="List 2"/>
    <w:basedOn w:val="Standard"/>
    <w:rsid w:val="00E16E77"/>
    <w:pPr>
      <w:ind w:left="566" w:hanging="283"/>
    </w:pPr>
  </w:style>
  <w:style w:type="paragraph" w:styleId="Liste3">
    <w:name w:val="List 3"/>
    <w:basedOn w:val="Standard"/>
    <w:rsid w:val="00E16E77"/>
    <w:pPr>
      <w:ind w:left="849" w:hanging="283"/>
    </w:pPr>
  </w:style>
  <w:style w:type="paragraph" w:styleId="Liste4">
    <w:name w:val="List 4"/>
    <w:basedOn w:val="Standard"/>
    <w:rsid w:val="00E16E77"/>
    <w:pPr>
      <w:ind w:left="1132" w:hanging="283"/>
    </w:pPr>
  </w:style>
  <w:style w:type="paragraph" w:styleId="Liste5">
    <w:name w:val="List 5"/>
    <w:basedOn w:val="Standard"/>
    <w:rsid w:val="00E16E77"/>
    <w:pPr>
      <w:ind w:left="1415" w:hanging="283"/>
    </w:pPr>
  </w:style>
  <w:style w:type="paragraph" w:styleId="Listenfortsetzung">
    <w:name w:val="List Continue"/>
    <w:basedOn w:val="Standard"/>
    <w:rsid w:val="00E16E77"/>
    <w:pPr>
      <w:ind w:left="283"/>
    </w:pPr>
  </w:style>
  <w:style w:type="paragraph" w:styleId="Listenfortsetzung2">
    <w:name w:val="List Continue 2"/>
    <w:basedOn w:val="Standard"/>
    <w:rsid w:val="00E16E77"/>
    <w:pPr>
      <w:ind w:left="566"/>
    </w:pPr>
  </w:style>
  <w:style w:type="paragraph" w:styleId="Listenfortsetzung3">
    <w:name w:val="List Continue 3"/>
    <w:basedOn w:val="Standard"/>
    <w:rsid w:val="00E16E77"/>
    <w:pPr>
      <w:ind w:left="849"/>
    </w:pPr>
  </w:style>
  <w:style w:type="paragraph" w:styleId="Listenfortsetzung4">
    <w:name w:val="List Continue 4"/>
    <w:basedOn w:val="Standard"/>
    <w:rsid w:val="00E16E77"/>
    <w:pPr>
      <w:ind w:left="1132"/>
    </w:pPr>
  </w:style>
  <w:style w:type="paragraph" w:styleId="Listenfortsetzung5">
    <w:name w:val="List Continue 5"/>
    <w:basedOn w:val="Standard"/>
    <w:rsid w:val="00E16E77"/>
    <w:pPr>
      <w:ind w:left="1415"/>
    </w:pPr>
  </w:style>
  <w:style w:type="paragraph" w:styleId="Listennummer">
    <w:name w:val="List Number"/>
    <w:basedOn w:val="Standard"/>
    <w:rsid w:val="00E16E77"/>
    <w:pPr>
      <w:tabs>
        <w:tab w:val="num" w:pos="360"/>
      </w:tabs>
      <w:ind w:left="360" w:hanging="360"/>
    </w:pPr>
  </w:style>
  <w:style w:type="paragraph" w:styleId="Listennummer2">
    <w:name w:val="List Number 2"/>
    <w:basedOn w:val="Standard"/>
    <w:rsid w:val="00E16E77"/>
    <w:pPr>
      <w:tabs>
        <w:tab w:val="num" w:pos="643"/>
      </w:tabs>
      <w:ind w:left="643" w:hanging="360"/>
    </w:pPr>
  </w:style>
  <w:style w:type="paragraph" w:styleId="Listennummer3">
    <w:name w:val="List Number 3"/>
    <w:basedOn w:val="Standard"/>
    <w:rsid w:val="00E16E77"/>
    <w:pPr>
      <w:tabs>
        <w:tab w:val="num" w:pos="926"/>
      </w:tabs>
      <w:ind w:left="926" w:hanging="360"/>
    </w:pPr>
  </w:style>
  <w:style w:type="paragraph" w:styleId="Listennummer4">
    <w:name w:val="List Number 4"/>
    <w:basedOn w:val="Standard"/>
    <w:rsid w:val="00E16E77"/>
    <w:pPr>
      <w:tabs>
        <w:tab w:val="num" w:pos="1209"/>
      </w:tabs>
      <w:ind w:left="1209" w:hanging="360"/>
    </w:pPr>
  </w:style>
  <w:style w:type="paragraph" w:styleId="Listennummer5">
    <w:name w:val="List Number 5"/>
    <w:basedOn w:val="Standard"/>
    <w:rsid w:val="00E16E77"/>
    <w:pPr>
      <w:tabs>
        <w:tab w:val="num" w:pos="1492"/>
      </w:tabs>
      <w:ind w:left="1492" w:hanging="360"/>
    </w:pPr>
  </w:style>
  <w:style w:type="paragraph" w:styleId="Makrotext">
    <w:name w:val="macro"/>
    <w:link w:val="MakrotextZchn"/>
    <w:semiHidden/>
    <w:rsid w:val="00E16E77"/>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noProof/>
      <w:color w:val="000000"/>
    </w:rPr>
  </w:style>
  <w:style w:type="character" w:customStyle="1" w:styleId="MakrotextZchn">
    <w:name w:val="Makrotext Zchn"/>
    <w:link w:val="Makrotext"/>
    <w:semiHidden/>
    <w:locked/>
    <w:rsid w:val="00D035C0"/>
    <w:rPr>
      <w:rFonts w:ascii="Courier New" w:hAnsi="Courier New"/>
      <w:noProof/>
      <w:color w:val="000000"/>
      <w:lang w:val="de-DE" w:eastAsia="de-DE" w:bidi="ar-SA"/>
    </w:rPr>
  </w:style>
  <w:style w:type="paragraph" w:styleId="Nachrichtenkopf">
    <w:name w:val="Message Header"/>
    <w:basedOn w:val="Standard"/>
    <w:link w:val="NachrichtenkopfZchn"/>
    <w:rsid w:val="00E16E7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link w:val="Nachrichtenkopf"/>
    <w:semiHidden/>
    <w:locked/>
    <w:rsid w:val="00D035C0"/>
    <w:rPr>
      <w:rFonts w:ascii="Cambria" w:hAnsi="Cambria" w:cs="Times New Roman"/>
      <w:noProof/>
      <w:color w:val="000000"/>
      <w:sz w:val="24"/>
      <w:szCs w:val="24"/>
      <w:shd w:val="pct20" w:color="auto" w:fill="auto"/>
    </w:rPr>
  </w:style>
  <w:style w:type="paragraph" w:customStyle="1" w:styleId="NurText1">
    <w:name w:val="Nur Text1"/>
    <w:basedOn w:val="Standard"/>
    <w:rsid w:val="00E16E77"/>
    <w:rPr>
      <w:rFonts w:ascii="Courier New" w:hAnsi="Courier New"/>
    </w:rPr>
  </w:style>
  <w:style w:type="paragraph" w:styleId="Standardeinzug">
    <w:name w:val="Normal Indent"/>
    <w:basedOn w:val="Standard"/>
    <w:rsid w:val="00E16E77"/>
    <w:pPr>
      <w:ind w:left="708"/>
    </w:pPr>
  </w:style>
  <w:style w:type="paragraph" w:styleId="Textkrper">
    <w:name w:val="Body Text"/>
    <w:basedOn w:val="Standard"/>
    <w:link w:val="TextkrperZchn"/>
    <w:rsid w:val="00E16E77"/>
  </w:style>
  <w:style w:type="character" w:customStyle="1" w:styleId="TextkrperZchn">
    <w:name w:val="Textkörper Zchn"/>
    <w:link w:val="Textkrper"/>
    <w:semiHidden/>
    <w:locked/>
    <w:rsid w:val="00D035C0"/>
    <w:rPr>
      <w:rFonts w:ascii="Arial" w:hAnsi="Arial" w:cs="Times New Roman"/>
      <w:noProof/>
      <w:color w:val="000000"/>
      <w:sz w:val="20"/>
      <w:szCs w:val="20"/>
    </w:rPr>
  </w:style>
  <w:style w:type="paragraph" w:customStyle="1" w:styleId="Textkrper21">
    <w:name w:val="Textkörper 21"/>
    <w:basedOn w:val="Standard"/>
    <w:rsid w:val="00E16E77"/>
    <w:pPr>
      <w:spacing w:line="480" w:lineRule="auto"/>
    </w:pPr>
  </w:style>
  <w:style w:type="paragraph" w:customStyle="1" w:styleId="Textkrper31">
    <w:name w:val="Textkörper 31"/>
    <w:basedOn w:val="Standard"/>
    <w:rsid w:val="00E16E77"/>
    <w:rPr>
      <w:sz w:val="16"/>
    </w:rPr>
  </w:style>
  <w:style w:type="paragraph" w:customStyle="1" w:styleId="Textkrper22">
    <w:name w:val="Textkörper 22"/>
    <w:basedOn w:val="Standard"/>
    <w:rsid w:val="00E16E77"/>
    <w:pPr>
      <w:ind w:left="283"/>
    </w:pPr>
  </w:style>
  <w:style w:type="paragraph" w:customStyle="1" w:styleId="Textkrper-Einzug21">
    <w:name w:val="Textkörper-Einzug 21"/>
    <w:basedOn w:val="Standard"/>
    <w:rsid w:val="00E16E77"/>
    <w:pPr>
      <w:spacing w:line="480" w:lineRule="auto"/>
      <w:ind w:left="283"/>
    </w:pPr>
  </w:style>
  <w:style w:type="paragraph" w:customStyle="1" w:styleId="Textkrper-Einzug31">
    <w:name w:val="Textkörper-Einzug 31"/>
    <w:basedOn w:val="Standard"/>
    <w:rsid w:val="00E16E77"/>
    <w:pPr>
      <w:ind w:left="283"/>
    </w:pPr>
    <w:rPr>
      <w:sz w:val="16"/>
    </w:rPr>
  </w:style>
  <w:style w:type="paragraph" w:customStyle="1" w:styleId="Textkrper-Erstzeileneinzug1">
    <w:name w:val="Textkörper-Erstzeileneinzug1"/>
    <w:basedOn w:val="Textkrper"/>
    <w:rsid w:val="00E16E77"/>
    <w:pPr>
      <w:ind w:firstLine="210"/>
    </w:pPr>
  </w:style>
  <w:style w:type="paragraph" w:customStyle="1" w:styleId="Textkrper-Erstzeileneinzug21">
    <w:name w:val="Textkörper-Erstzeileneinzug 21"/>
    <w:basedOn w:val="Textkrper22"/>
    <w:rsid w:val="00E16E77"/>
    <w:pPr>
      <w:ind w:firstLine="210"/>
    </w:pPr>
  </w:style>
  <w:style w:type="paragraph" w:styleId="Titel">
    <w:name w:val="Title"/>
    <w:basedOn w:val="Standard"/>
    <w:link w:val="TitelZchn"/>
    <w:qFormat/>
    <w:rsid w:val="00E16E77"/>
    <w:pPr>
      <w:spacing w:before="240" w:after="60"/>
      <w:jc w:val="center"/>
    </w:pPr>
    <w:rPr>
      <w:b/>
      <w:kern w:val="28"/>
      <w:sz w:val="32"/>
    </w:rPr>
  </w:style>
  <w:style w:type="character" w:customStyle="1" w:styleId="TitelZchn">
    <w:name w:val="Titel Zchn"/>
    <w:link w:val="Titel"/>
    <w:locked/>
    <w:rsid w:val="00D035C0"/>
    <w:rPr>
      <w:rFonts w:ascii="Cambria" w:hAnsi="Cambria" w:cs="Times New Roman"/>
      <w:b/>
      <w:bCs/>
      <w:noProof/>
      <w:color w:val="000000"/>
      <w:kern w:val="28"/>
      <w:sz w:val="32"/>
      <w:szCs w:val="32"/>
    </w:rPr>
  </w:style>
  <w:style w:type="paragraph" w:styleId="Umschlagadresse">
    <w:name w:val="envelope address"/>
    <w:basedOn w:val="Standard"/>
    <w:rsid w:val="00E16E77"/>
    <w:pPr>
      <w:framePr w:w="4320" w:h="2160" w:hRule="exact" w:hSpace="141" w:wrap="auto" w:hAnchor="page" w:xAlign="center" w:yAlign="bottom"/>
      <w:ind w:left="1"/>
    </w:pPr>
    <w:rPr>
      <w:sz w:val="24"/>
    </w:rPr>
  </w:style>
  <w:style w:type="paragraph" w:styleId="Unterschrift">
    <w:name w:val="Signature"/>
    <w:basedOn w:val="Standard"/>
    <w:link w:val="UnterschriftZchn"/>
    <w:rsid w:val="00E16E77"/>
    <w:pPr>
      <w:ind w:left="4252"/>
    </w:pPr>
  </w:style>
  <w:style w:type="character" w:customStyle="1" w:styleId="UnterschriftZchn">
    <w:name w:val="Unterschrift Zchn"/>
    <w:link w:val="Unterschrift"/>
    <w:semiHidden/>
    <w:locked/>
    <w:rsid w:val="00D035C0"/>
    <w:rPr>
      <w:rFonts w:ascii="Arial" w:hAnsi="Arial" w:cs="Times New Roman"/>
      <w:noProof/>
      <w:color w:val="000000"/>
      <w:sz w:val="20"/>
      <w:szCs w:val="20"/>
    </w:rPr>
  </w:style>
  <w:style w:type="paragraph" w:styleId="Untertitel">
    <w:name w:val="Subtitle"/>
    <w:basedOn w:val="Standard"/>
    <w:link w:val="UntertitelZchn"/>
    <w:qFormat/>
    <w:rsid w:val="00E16E77"/>
    <w:pPr>
      <w:spacing w:after="60"/>
      <w:jc w:val="center"/>
    </w:pPr>
    <w:rPr>
      <w:sz w:val="24"/>
    </w:rPr>
  </w:style>
  <w:style w:type="character" w:customStyle="1" w:styleId="UntertitelZchn">
    <w:name w:val="Untertitel Zchn"/>
    <w:link w:val="Untertitel"/>
    <w:locked/>
    <w:rsid w:val="00D035C0"/>
    <w:rPr>
      <w:rFonts w:ascii="Cambria" w:hAnsi="Cambria" w:cs="Times New Roman"/>
      <w:noProof/>
      <w:color w:val="000000"/>
      <w:sz w:val="24"/>
      <w:szCs w:val="24"/>
    </w:rPr>
  </w:style>
  <w:style w:type="paragraph" w:styleId="Verzeichnis1">
    <w:name w:val="toc 1"/>
    <w:basedOn w:val="Standard"/>
    <w:next w:val="Standard"/>
    <w:semiHidden/>
    <w:rsid w:val="00E16E77"/>
  </w:style>
  <w:style w:type="paragraph" w:styleId="Verzeichnis2">
    <w:name w:val="toc 2"/>
    <w:basedOn w:val="Standard"/>
    <w:next w:val="Standard"/>
    <w:semiHidden/>
    <w:rsid w:val="00E16E77"/>
    <w:pPr>
      <w:ind w:left="200"/>
    </w:pPr>
  </w:style>
  <w:style w:type="paragraph" w:styleId="Verzeichnis3">
    <w:name w:val="toc 3"/>
    <w:basedOn w:val="Standard"/>
    <w:next w:val="Standard"/>
    <w:semiHidden/>
    <w:rsid w:val="00E16E77"/>
    <w:pPr>
      <w:ind w:left="400"/>
    </w:pPr>
  </w:style>
  <w:style w:type="paragraph" w:styleId="Verzeichnis4">
    <w:name w:val="toc 4"/>
    <w:basedOn w:val="Standard"/>
    <w:next w:val="Standard"/>
    <w:semiHidden/>
    <w:rsid w:val="00E16E77"/>
    <w:pPr>
      <w:ind w:left="600"/>
    </w:pPr>
  </w:style>
  <w:style w:type="paragraph" w:styleId="Verzeichnis5">
    <w:name w:val="toc 5"/>
    <w:basedOn w:val="Standard"/>
    <w:next w:val="Standard"/>
    <w:semiHidden/>
    <w:rsid w:val="00E16E77"/>
    <w:pPr>
      <w:ind w:left="800"/>
    </w:pPr>
  </w:style>
  <w:style w:type="paragraph" w:styleId="Verzeichnis6">
    <w:name w:val="toc 6"/>
    <w:basedOn w:val="Standard"/>
    <w:next w:val="Standard"/>
    <w:semiHidden/>
    <w:rsid w:val="00E16E77"/>
    <w:pPr>
      <w:ind w:left="1000"/>
    </w:pPr>
  </w:style>
  <w:style w:type="paragraph" w:styleId="Verzeichnis7">
    <w:name w:val="toc 7"/>
    <w:basedOn w:val="Standard"/>
    <w:next w:val="Standard"/>
    <w:semiHidden/>
    <w:rsid w:val="00E16E77"/>
    <w:pPr>
      <w:ind w:left="1200"/>
    </w:pPr>
  </w:style>
  <w:style w:type="paragraph" w:styleId="Verzeichnis8">
    <w:name w:val="toc 8"/>
    <w:basedOn w:val="Standard"/>
    <w:next w:val="Standard"/>
    <w:semiHidden/>
    <w:rsid w:val="00E16E77"/>
    <w:pPr>
      <w:ind w:left="1400"/>
    </w:pPr>
  </w:style>
  <w:style w:type="paragraph" w:styleId="Verzeichnis9">
    <w:name w:val="toc 9"/>
    <w:basedOn w:val="Standard"/>
    <w:next w:val="Standard"/>
    <w:semiHidden/>
    <w:rsid w:val="00E16E77"/>
    <w:pPr>
      <w:ind w:left="1600"/>
    </w:pPr>
  </w:style>
  <w:style w:type="paragraph" w:styleId="RGV-berschrift">
    <w:name w:val="toa heading"/>
    <w:basedOn w:val="Standard"/>
    <w:next w:val="Standard"/>
    <w:semiHidden/>
    <w:rsid w:val="00E16E77"/>
    <w:pPr>
      <w:spacing w:before="120"/>
    </w:pPr>
    <w:rPr>
      <w:b/>
      <w:sz w:val="24"/>
    </w:rPr>
  </w:style>
  <w:style w:type="paragraph" w:styleId="Rechtsgrundlagenverzeichnis">
    <w:name w:val="table of authorities"/>
    <w:basedOn w:val="Standard"/>
    <w:next w:val="Standard"/>
    <w:semiHidden/>
    <w:rsid w:val="00E16E77"/>
    <w:pPr>
      <w:ind w:left="200" w:hanging="200"/>
    </w:pPr>
  </w:style>
  <w:style w:type="character" w:styleId="Hyperlink">
    <w:name w:val="Hyperlink"/>
    <w:rsid w:val="00E16E77"/>
    <w:rPr>
      <w:rFonts w:cs="Times New Roman"/>
      <w:color w:val="0000FF"/>
      <w:u w:val="single"/>
    </w:rPr>
  </w:style>
  <w:style w:type="character" w:customStyle="1" w:styleId="Max">
    <w:name w:val="Max."/>
    <w:rsid w:val="00E16E77"/>
    <w:rPr>
      <w:b/>
    </w:rPr>
  </w:style>
  <w:style w:type="character" w:styleId="BesuchterHyperlink">
    <w:name w:val="BesuchterHyperlink"/>
    <w:rsid w:val="00E16E77"/>
    <w:rPr>
      <w:rFonts w:cs="Times New Roman"/>
      <w:color w:val="800080"/>
      <w:u w:val="single"/>
    </w:rPr>
  </w:style>
  <w:style w:type="paragraph" w:styleId="StandardWeb">
    <w:name w:val="Normal (Web)"/>
    <w:basedOn w:val="Standard"/>
    <w:rsid w:val="00E16E77"/>
    <w:pPr>
      <w:spacing w:before="100" w:beforeAutospacing="1" w:after="100" w:afterAutospacing="1"/>
      <w:jc w:val="left"/>
    </w:pPr>
    <w:rPr>
      <w:rFonts w:ascii="Arial Unicode MS" w:eastAsia="Arial Unicode MS" w:hAnsi="Arial Unicode MS" w:cs="Arial Unicode MS"/>
      <w:noProof w:val="0"/>
      <w:color w:val="auto"/>
      <w:sz w:val="24"/>
      <w:szCs w:val="24"/>
    </w:rPr>
  </w:style>
  <w:style w:type="character" w:styleId="Fett">
    <w:name w:val="Strong"/>
    <w:qFormat/>
    <w:rsid w:val="00E16E77"/>
    <w:rPr>
      <w:rFonts w:cs="Times New Roman"/>
      <w:b/>
      <w:bCs/>
    </w:rPr>
  </w:style>
  <w:style w:type="paragraph" w:customStyle="1" w:styleId="ListParagraph">
    <w:name w:val="List Paragraph"/>
    <w:basedOn w:val="Standard"/>
    <w:rsid w:val="004E1737"/>
    <w:pPr>
      <w:spacing w:after="0"/>
      <w:ind w:left="720"/>
      <w:contextualSpacing/>
    </w:pPr>
    <w:rPr>
      <w:noProof w:val="0"/>
      <w:color w:val="auto"/>
      <w:sz w:val="24"/>
      <w:szCs w:val="24"/>
      <w:lang w:eastAsia="en-US"/>
    </w:rPr>
  </w:style>
  <w:style w:type="paragraph" w:styleId="Sprechblasentext">
    <w:name w:val="Balloon Text"/>
    <w:basedOn w:val="Standard"/>
    <w:link w:val="SprechblasentextZchn"/>
    <w:rsid w:val="00EF3733"/>
    <w:pPr>
      <w:spacing w:after="0"/>
    </w:pPr>
    <w:rPr>
      <w:rFonts w:ascii="Tahoma" w:hAnsi="Tahoma" w:cs="Tahoma"/>
      <w:sz w:val="16"/>
      <w:szCs w:val="16"/>
    </w:rPr>
  </w:style>
  <w:style w:type="character" w:customStyle="1" w:styleId="SprechblasentextZchn">
    <w:name w:val="Sprechblasentext Zchn"/>
    <w:link w:val="Sprechblasentext"/>
    <w:locked/>
    <w:rsid w:val="00EF3733"/>
    <w:rPr>
      <w:rFonts w:ascii="Tahoma" w:hAnsi="Tahoma" w:cs="Tahoma"/>
      <w:noProof/>
      <w:color w:val="000000"/>
      <w:sz w:val="16"/>
      <w:szCs w:val="16"/>
    </w:rPr>
  </w:style>
  <w:style w:type="character" w:styleId="Kommentarzeichen">
    <w:name w:val="annotation reference"/>
    <w:semiHidden/>
    <w:rsid w:val="0038018C"/>
    <w:rPr>
      <w:rFonts w:cs="Times New Roman"/>
      <w:sz w:val="16"/>
      <w:szCs w:val="16"/>
    </w:rPr>
  </w:style>
  <w:style w:type="paragraph" w:styleId="Kommentarthema">
    <w:name w:val="annotation subject"/>
    <w:basedOn w:val="Kommentartext"/>
    <w:next w:val="Kommentartext"/>
    <w:link w:val="KommentarthemaZchn"/>
    <w:semiHidden/>
    <w:rsid w:val="0038018C"/>
    <w:rPr>
      <w:b/>
      <w:bCs/>
    </w:rPr>
  </w:style>
  <w:style w:type="character" w:customStyle="1" w:styleId="KommentarthemaZchn">
    <w:name w:val="Kommentarthema Zchn"/>
    <w:link w:val="Kommentarthema"/>
    <w:semiHidden/>
    <w:locked/>
    <w:rsid w:val="00D035C0"/>
    <w:rPr>
      <w:rFonts w:ascii="Arial" w:hAnsi="Arial" w:cs="Times New Roman"/>
      <w:b/>
      <w:bCs/>
      <w:noProof/>
      <w:color w:val="000000"/>
      <w:sz w:val="20"/>
      <w:szCs w:val="20"/>
    </w:rPr>
  </w:style>
  <w:style w:type="paragraph" w:customStyle="1" w:styleId="Revision">
    <w:name w:val="Revision"/>
    <w:hidden/>
    <w:semiHidden/>
    <w:rsid w:val="00343657"/>
    <w:rPr>
      <w:rFonts w:ascii="Arial" w:hAnsi="Arial"/>
      <w:noProof/>
      <w:color w:val="000000"/>
    </w:rPr>
  </w:style>
  <w:style w:type="table" w:styleId="Tabellenraster">
    <w:name w:val="Table Grid"/>
    <w:basedOn w:val="NormaleTabelle"/>
    <w:rsid w:val="00116EA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kronym">
    <w:name w:val="HTML Acronym"/>
    <w:basedOn w:val="Absatz-Standardschriftart"/>
    <w:locked/>
    <w:rsid w:val="0073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16089713">
      <w:bodyDiv w:val="1"/>
      <w:marLeft w:val="0"/>
      <w:marRight w:val="0"/>
      <w:marTop w:val="0"/>
      <w:marBottom w:val="0"/>
      <w:divBdr>
        <w:top w:val="none" w:sz="0" w:space="0" w:color="auto"/>
        <w:left w:val="none" w:sz="0" w:space="0" w:color="auto"/>
        <w:bottom w:val="none" w:sz="0" w:space="0" w:color="auto"/>
        <w:right w:val="none" w:sz="0" w:space="0" w:color="auto"/>
      </w:divBdr>
    </w:div>
    <w:div w:id="388841419">
      <w:bodyDiv w:val="1"/>
      <w:marLeft w:val="0"/>
      <w:marRight w:val="0"/>
      <w:marTop w:val="0"/>
      <w:marBottom w:val="0"/>
      <w:divBdr>
        <w:top w:val="none" w:sz="0" w:space="0" w:color="auto"/>
        <w:left w:val="none" w:sz="0" w:space="0" w:color="auto"/>
        <w:bottom w:val="none" w:sz="0" w:space="0" w:color="auto"/>
        <w:right w:val="none" w:sz="0" w:space="0" w:color="auto"/>
      </w:divBdr>
    </w:div>
    <w:div w:id="398986554">
      <w:bodyDiv w:val="1"/>
      <w:marLeft w:val="0"/>
      <w:marRight w:val="0"/>
      <w:marTop w:val="0"/>
      <w:marBottom w:val="0"/>
      <w:divBdr>
        <w:top w:val="none" w:sz="0" w:space="0" w:color="auto"/>
        <w:left w:val="none" w:sz="0" w:space="0" w:color="auto"/>
        <w:bottom w:val="none" w:sz="0" w:space="0" w:color="auto"/>
        <w:right w:val="none" w:sz="0" w:space="0" w:color="auto"/>
      </w:divBdr>
    </w:div>
    <w:div w:id="521549316">
      <w:bodyDiv w:val="1"/>
      <w:marLeft w:val="0"/>
      <w:marRight w:val="0"/>
      <w:marTop w:val="0"/>
      <w:marBottom w:val="0"/>
      <w:divBdr>
        <w:top w:val="none" w:sz="0" w:space="0" w:color="auto"/>
        <w:left w:val="none" w:sz="0" w:space="0" w:color="auto"/>
        <w:bottom w:val="none" w:sz="0" w:space="0" w:color="auto"/>
        <w:right w:val="none" w:sz="0" w:space="0" w:color="auto"/>
      </w:divBdr>
    </w:div>
    <w:div w:id="530731239">
      <w:bodyDiv w:val="1"/>
      <w:marLeft w:val="0"/>
      <w:marRight w:val="0"/>
      <w:marTop w:val="0"/>
      <w:marBottom w:val="0"/>
      <w:divBdr>
        <w:top w:val="none" w:sz="0" w:space="0" w:color="auto"/>
        <w:left w:val="none" w:sz="0" w:space="0" w:color="auto"/>
        <w:bottom w:val="none" w:sz="0" w:space="0" w:color="auto"/>
        <w:right w:val="none" w:sz="0" w:space="0" w:color="auto"/>
      </w:divBdr>
    </w:div>
    <w:div w:id="555701910">
      <w:bodyDiv w:val="1"/>
      <w:marLeft w:val="0"/>
      <w:marRight w:val="0"/>
      <w:marTop w:val="0"/>
      <w:marBottom w:val="0"/>
      <w:divBdr>
        <w:top w:val="none" w:sz="0" w:space="0" w:color="auto"/>
        <w:left w:val="none" w:sz="0" w:space="0" w:color="auto"/>
        <w:bottom w:val="none" w:sz="0" w:space="0" w:color="auto"/>
        <w:right w:val="none" w:sz="0" w:space="0" w:color="auto"/>
      </w:divBdr>
    </w:div>
    <w:div w:id="587151834">
      <w:bodyDiv w:val="1"/>
      <w:marLeft w:val="0"/>
      <w:marRight w:val="0"/>
      <w:marTop w:val="0"/>
      <w:marBottom w:val="0"/>
      <w:divBdr>
        <w:top w:val="none" w:sz="0" w:space="0" w:color="auto"/>
        <w:left w:val="none" w:sz="0" w:space="0" w:color="auto"/>
        <w:bottom w:val="none" w:sz="0" w:space="0" w:color="auto"/>
        <w:right w:val="none" w:sz="0" w:space="0" w:color="auto"/>
      </w:divBdr>
    </w:div>
    <w:div w:id="763957511">
      <w:bodyDiv w:val="1"/>
      <w:marLeft w:val="0"/>
      <w:marRight w:val="0"/>
      <w:marTop w:val="0"/>
      <w:marBottom w:val="0"/>
      <w:divBdr>
        <w:top w:val="none" w:sz="0" w:space="0" w:color="auto"/>
        <w:left w:val="none" w:sz="0" w:space="0" w:color="auto"/>
        <w:bottom w:val="none" w:sz="0" w:space="0" w:color="auto"/>
        <w:right w:val="none" w:sz="0" w:space="0" w:color="auto"/>
      </w:divBdr>
    </w:div>
    <w:div w:id="939602295">
      <w:bodyDiv w:val="1"/>
      <w:marLeft w:val="0"/>
      <w:marRight w:val="0"/>
      <w:marTop w:val="0"/>
      <w:marBottom w:val="0"/>
      <w:divBdr>
        <w:top w:val="none" w:sz="0" w:space="0" w:color="auto"/>
        <w:left w:val="none" w:sz="0" w:space="0" w:color="auto"/>
        <w:bottom w:val="none" w:sz="0" w:space="0" w:color="auto"/>
        <w:right w:val="none" w:sz="0" w:space="0" w:color="auto"/>
      </w:divBdr>
    </w:div>
    <w:div w:id="1298100719">
      <w:bodyDiv w:val="1"/>
      <w:marLeft w:val="0"/>
      <w:marRight w:val="0"/>
      <w:marTop w:val="0"/>
      <w:marBottom w:val="0"/>
      <w:divBdr>
        <w:top w:val="none" w:sz="0" w:space="0" w:color="auto"/>
        <w:left w:val="none" w:sz="0" w:space="0" w:color="auto"/>
        <w:bottom w:val="none" w:sz="0" w:space="0" w:color="auto"/>
        <w:right w:val="none" w:sz="0" w:space="0" w:color="auto"/>
      </w:divBdr>
    </w:div>
    <w:div w:id="1402631388">
      <w:bodyDiv w:val="1"/>
      <w:marLeft w:val="0"/>
      <w:marRight w:val="0"/>
      <w:marTop w:val="0"/>
      <w:marBottom w:val="0"/>
      <w:divBdr>
        <w:top w:val="none" w:sz="0" w:space="0" w:color="auto"/>
        <w:left w:val="none" w:sz="0" w:space="0" w:color="auto"/>
        <w:bottom w:val="none" w:sz="0" w:space="0" w:color="auto"/>
        <w:right w:val="none" w:sz="0" w:space="0" w:color="auto"/>
      </w:divBdr>
    </w:div>
    <w:div w:id="1575630635">
      <w:bodyDiv w:val="1"/>
      <w:marLeft w:val="0"/>
      <w:marRight w:val="0"/>
      <w:marTop w:val="0"/>
      <w:marBottom w:val="0"/>
      <w:divBdr>
        <w:top w:val="none" w:sz="0" w:space="0" w:color="auto"/>
        <w:left w:val="none" w:sz="0" w:space="0" w:color="auto"/>
        <w:bottom w:val="none" w:sz="0" w:space="0" w:color="auto"/>
        <w:right w:val="none" w:sz="0" w:space="0" w:color="auto"/>
      </w:divBdr>
    </w:div>
    <w:div w:id="18364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ndesrecht.juris.de/bundesrecht/baunvo/gesam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MSO\Vorlagen\U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UIS.DOT</Template>
  <TotalTime>0</TotalTime>
  <Pages>7</Pages>
  <Words>1833</Words>
  <Characters>11554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06.09 Urban Structural Density (Edition 2012)</vt:lpstr>
    </vt:vector>
  </TitlesOfParts>
  <Company>SenStadtUm</Company>
  <LinksUpToDate>false</LinksUpToDate>
  <CharactersWithSpaces>13361</CharactersWithSpaces>
  <SharedDoc>false</SharedDoc>
  <HLinks>
    <vt:vector size="6" baseType="variant">
      <vt:variant>
        <vt:i4>1310813</vt:i4>
      </vt:variant>
      <vt:variant>
        <vt:i4>3</vt:i4>
      </vt:variant>
      <vt:variant>
        <vt:i4>0</vt:i4>
      </vt:variant>
      <vt:variant>
        <vt:i4>5</vt:i4>
      </vt:variant>
      <vt:variant>
        <vt:lpwstr>http://bundesrecht.juris.de/bundesrecht/baunvo/gesamt.pdf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 Urban Structural Density (Edition 2012)</dc:title>
  <dc:subject>Berlin Environmental Atlas</dc:subject>
  <dc:creator>Senate Department for Urban Development and the Environment Berlin</dc:creator>
  <cp:keywords/>
  <cp:revision>2</cp:revision>
  <cp:lastPrinted>2010-01-19T15:11:00Z</cp:lastPrinted>
  <dcterms:created xsi:type="dcterms:W3CDTF">2020-09-18T10:52:00Z</dcterms:created>
  <dcterms:modified xsi:type="dcterms:W3CDTF">2020-09-18T10:52:00Z</dcterms:modified>
</cp:coreProperties>
</file>