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AE" w:rsidRPr="001E6C03" w:rsidRDefault="003325AE" w:rsidP="008A3F0F">
      <w:pPr>
        <w:pStyle w:val="berschrift1"/>
        <w:pBdr>
          <w:top w:val="single" w:sz="4" w:space="2" w:color="auto"/>
          <w:left w:val="single" w:sz="4" w:space="2" w:color="auto"/>
          <w:bottom w:val="single" w:sz="4" w:space="2" w:color="auto"/>
          <w:right w:val="single" w:sz="4" w:space="2" w:color="auto"/>
        </w:pBdr>
        <w:spacing w:after="120"/>
        <w:jc w:val="left"/>
        <w:rPr>
          <w:rFonts w:cs="Arial"/>
        </w:rPr>
      </w:pPr>
      <w:bookmarkStart w:id="0" w:name="_GoBack"/>
      <w:bookmarkEnd w:id="0"/>
      <w:r>
        <w:rPr>
          <w:rFonts w:cs="Arial"/>
        </w:rPr>
        <w:t>06.09 Städtebauliche Dichte</w:t>
      </w:r>
      <w:r w:rsidR="00FD295D">
        <w:rPr>
          <w:rFonts w:cs="Arial"/>
        </w:rPr>
        <w:br/>
      </w:r>
      <w:r w:rsidRPr="001E6C03">
        <w:rPr>
          <w:rFonts w:cs="Arial"/>
        </w:rPr>
        <w:t>(Ausgabe 20</w:t>
      </w:r>
      <w:r w:rsidR="00E6145A">
        <w:rPr>
          <w:rFonts w:cs="Arial"/>
        </w:rPr>
        <w:t>12</w:t>
      </w:r>
      <w:r w:rsidRPr="001E6C03">
        <w:rPr>
          <w:rFonts w:cs="Arial"/>
        </w:rPr>
        <w:t>)</w:t>
      </w:r>
    </w:p>
    <w:p w:rsidR="003325AE" w:rsidRPr="001E6C03" w:rsidRDefault="003325AE" w:rsidP="009A5DDA">
      <w:pPr>
        <w:pStyle w:val="berschrift2"/>
        <w:rPr>
          <w:rFonts w:cs="Arial"/>
        </w:rPr>
      </w:pPr>
      <w:r w:rsidRPr="001E6C03">
        <w:rPr>
          <w:rFonts w:cs="Arial"/>
        </w:rPr>
        <w:t>Problemstellung</w:t>
      </w:r>
    </w:p>
    <w:p w:rsidR="003325AE" w:rsidRDefault="003325AE" w:rsidP="00F83DEA">
      <w:pPr>
        <w:rPr>
          <w:rFonts w:cs="Arial"/>
          <w:color w:val="auto"/>
        </w:rPr>
      </w:pPr>
      <w:r>
        <w:rPr>
          <w:rFonts w:cs="Arial"/>
          <w:color w:val="auto"/>
        </w:rPr>
        <w:t xml:space="preserve">Mit den Karten „Reale Nutzung der bebauten Flächen“, „Grün- und Freiflächenbestand“ und </w:t>
      </w:r>
      <w:r w:rsidR="009B4CCA">
        <w:rPr>
          <w:rFonts w:cs="Arial"/>
          <w:color w:val="auto"/>
        </w:rPr>
        <w:t>„</w:t>
      </w:r>
      <w:r>
        <w:rPr>
          <w:rFonts w:cs="Arial"/>
          <w:color w:val="auto"/>
        </w:rPr>
        <w:t>Stadtstruktur</w:t>
      </w:r>
      <w:r w:rsidR="009B4CCA">
        <w:rPr>
          <w:rFonts w:cs="Arial"/>
          <w:color w:val="auto"/>
        </w:rPr>
        <w:t>“</w:t>
      </w:r>
      <w:r>
        <w:rPr>
          <w:rFonts w:cs="Arial"/>
          <w:color w:val="auto"/>
        </w:rPr>
        <w:t xml:space="preserve"> wird die Art der Nutzung des Stadtgebietes differenziert beschrieben. Aussagen zum </w:t>
      </w:r>
      <w:r w:rsidRPr="00327B1A">
        <w:rPr>
          <w:rFonts w:cs="Arial"/>
          <w:b/>
          <w:color w:val="auto"/>
        </w:rPr>
        <w:t>Maß der baulichen Nutzung</w:t>
      </w:r>
      <w:r>
        <w:rPr>
          <w:rFonts w:cs="Arial"/>
          <w:color w:val="auto"/>
        </w:rPr>
        <w:t xml:space="preserve"> sind jedoch mit den bisher vorliegenden Karten nur indirekt möglich. </w:t>
      </w:r>
    </w:p>
    <w:p w:rsidR="003325AE" w:rsidRDefault="004171B4" w:rsidP="00F83DEA">
      <w:pPr>
        <w:rPr>
          <w:rFonts w:cs="Arial"/>
          <w:color w:val="auto"/>
        </w:rPr>
      </w:pPr>
      <w:r>
        <w:rPr>
          <w:rFonts w:cs="Arial"/>
          <w:color w:val="auto"/>
        </w:rPr>
        <w:t>Erst m</w:t>
      </w:r>
      <w:r w:rsidR="003325AE">
        <w:rPr>
          <w:rFonts w:cs="Arial"/>
          <w:color w:val="auto"/>
        </w:rPr>
        <w:t>it dem Maß</w:t>
      </w:r>
      <w:r w:rsidR="003325AE" w:rsidRPr="00E90842">
        <w:rPr>
          <w:rFonts w:cs="Arial"/>
          <w:color w:val="auto"/>
        </w:rPr>
        <w:t xml:space="preserve"> der baulichen Nutzung </w:t>
      </w:r>
      <w:r w:rsidR="003325AE">
        <w:rPr>
          <w:rFonts w:cs="Arial"/>
          <w:color w:val="auto"/>
        </w:rPr>
        <w:t xml:space="preserve">kann jedoch die städtebauliche Dichte und die Nutzungsintensität und damit </w:t>
      </w:r>
      <w:r w:rsidR="003325AE" w:rsidRPr="00E90842">
        <w:rPr>
          <w:rFonts w:cs="Arial"/>
          <w:color w:val="auto"/>
        </w:rPr>
        <w:t xml:space="preserve">neben der Ausstattung und Freiflächenversorgung </w:t>
      </w:r>
      <w:r w:rsidR="003325AE">
        <w:rPr>
          <w:rFonts w:cs="Arial"/>
          <w:color w:val="auto"/>
        </w:rPr>
        <w:t xml:space="preserve">auch </w:t>
      </w:r>
      <w:r w:rsidR="003325AE" w:rsidRPr="00E90842">
        <w:rPr>
          <w:rFonts w:cs="Arial"/>
          <w:color w:val="auto"/>
        </w:rPr>
        <w:t>die städtebauliche Qualität eines Wohngebietes</w:t>
      </w:r>
      <w:r w:rsidR="003325AE">
        <w:rPr>
          <w:rFonts w:cs="Arial"/>
          <w:color w:val="auto"/>
        </w:rPr>
        <w:t xml:space="preserve"> beschrieben werden</w:t>
      </w:r>
      <w:r w:rsidR="003325AE" w:rsidRPr="00E90842">
        <w:rPr>
          <w:rFonts w:cs="Arial"/>
          <w:color w:val="auto"/>
        </w:rPr>
        <w:t xml:space="preserve">. </w:t>
      </w:r>
    </w:p>
    <w:p w:rsidR="003325AE" w:rsidRDefault="003325AE" w:rsidP="00F83DEA">
      <w:pPr>
        <w:rPr>
          <w:rFonts w:cs="Arial"/>
          <w:color w:val="auto"/>
        </w:rPr>
      </w:pPr>
      <w:r w:rsidRPr="00E90842">
        <w:rPr>
          <w:rFonts w:cs="Arial"/>
          <w:color w:val="auto"/>
        </w:rPr>
        <w:t xml:space="preserve">In den vorliegenden Karten wurde </w:t>
      </w:r>
      <w:r>
        <w:rPr>
          <w:rFonts w:cs="Arial"/>
          <w:color w:val="auto"/>
        </w:rPr>
        <w:t xml:space="preserve">daher erstmals auf der Ebene der Blöcke und Teilblöcke für die gesamte Stadt </w:t>
      </w:r>
      <w:r w:rsidRPr="00E90842">
        <w:rPr>
          <w:rFonts w:cs="Arial"/>
          <w:color w:val="auto"/>
        </w:rPr>
        <w:t xml:space="preserve">das vorhandene Maß der baulichen Nutzung in Form der Grundflächenzahl (GRZ) und der Geschossflächenzahl (GFZ)  kartiert. </w:t>
      </w:r>
      <w:r w:rsidRPr="001E6C03">
        <w:rPr>
          <w:rFonts w:cs="Arial"/>
        </w:rPr>
        <w:t xml:space="preserve">Die Karten </w:t>
      </w:r>
      <w:r>
        <w:rPr>
          <w:rFonts w:cs="Arial"/>
        </w:rPr>
        <w:t xml:space="preserve">06.09.1 </w:t>
      </w:r>
      <w:r w:rsidRPr="001E6C03">
        <w:rPr>
          <w:rFonts w:cs="Arial"/>
          <w:i/>
        </w:rPr>
        <w:t>Grundflächenzahl (GRZ)</w:t>
      </w:r>
      <w:r w:rsidRPr="001E6C03">
        <w:rPr>
          <w:rFonts w:cs="Arial"/>
        </w:rPr>
        <w:t xml:space="preserve"> und </w:t>
      </w:r>
      <w:r>
        <w:rPr>
          <w:rFonts w:cs="Arial"/>
        </w:rPr>
        <w:t xml:space="preserve">06.09.2 </w:t>
      </w:r>
      <w:r w:rsidRPr="006D524A">
        <w:rPr>
          <w:rFonts w:cs="Arial"/>
          <w:i/>
        </w:rPr>
        <w:t xml:space="preserve">Geschossflächenzahl </w:t>
      </w:r>
      <w:r w:rsidRPr="001E6C03">
        <w:rPr>
          <w:rFonts w:cs="Arial"/>
          <w:i/>
        </w:rPr>
        <w:t>(GFZ)</w:t>
      </w:r>
      <w:r>
        <w:rPr>
          <w:rFonts w:cs="Arial"/>
        </w:rPr>
        <w:t xml:space="preserve"> </w:t>
      </w:r>
      <w:r w:rsidRPr="001E6C03">
        <w:rPr>
          <w:rFonts w:cs="Arial"/>
        </w:rPr>
        <w:t>ermöglichen eine</w:t>
      </w:r>
      <w:r>
        <w:rPr>
          <w:rFonts w:cs="Arial"/>
        </w:rPr>
        <w:t>n</w:t>
      </w:r>
      <w:r w:rsidRPr="001E6C03">
        <w:rPr>
          <w:rFonts w:cs="Arial"/>
        </w:rPr>
        <w:t xml:space="preserve"> detaillierte</w:t>
      </w:r>
      <w:r>
        <w:rPr>
          <w:rFonts w:cs="Arial"/>
        </w:rPr>
        <w:t xml:space="preserve">n </w:t>
      </w:r>
      <w:r>
        <w:rPr>
          <w:rFonts w:cs="Arial"/>
          <w:b/>
          <w:bCs/>
        </w:rPr>
        <w:t>Überblick</w:t>
      </w:r>
      <w:r w:rsidRPr="001E6C03">
        <w:rPr>
          <w:rFonts w:cs="Arial"/>
          <w:b/>
          <w:bCs/>
        </w:rPr>
        <w:t xml:space="preserve"> </w:t>
      </w:r>
      <w:r>
        <w:rPr>
          <w:rFonts w:cs="Arial"/>
          <w:b/>
          <w:bCs/>
        </w:rPr>
        <w:t>der städtebaulichen Dichte</w:t>
      </w:r>
      <w:r w:rsidRPr="001E6C03">
        <w:rPr>
          <w:rFonts w:cs="Arial"/>
          <w:b/>
          <w:bCs/>
        </w:rPr>
        <w:t xml:space="preserve"> Berlins</w:t>
      </w:r>
      <w:r w:rsidRPr="001E6C03">
        <w:rPr>
          <w:rFonts w:cs="Arial"/>
        </w:rPr>
        <w:t>.</w:t>
      </w:r>
    </w:p>
    <w:p w:rsidR="003325AE" w:rsidRPr="001E6C03" w:rsidRDefault="003325AE" w:rsidP="00F83DEA">
      <w:pPr>
        <w:pStyle w:val="StandardWeb"/>
        <w:spacing w:before="0" w:beforeAutospacing="0" w:after="120" w:afterAutospacing="0"/>
        <w:jc w:val="both"/>
        <w:rPr>
          <w:rFonts w:ascii="Arial" w:hAnsi="Arial" w:cs="Arial"/>
          <w:sz w:val="20"/>
          <w:szCs w:val="20"/>
        </w:rPr>
      </w:pPr>
      <w:r>
        <w:rPr>
          <w:rFonts w:ascii="Arial" w:hAnsi="Arial" w:cs="Arial"/>
          <w:sz w:val="20"/>
          <w:szCs w:val="20"/>
        </w:rPr>
        <w:t xml:space="preserve">Bei den beiden Kenngrößen Grundflächen- und Geschossflächenzahl handelt es sich um baurechtliche Planungswerte, </w:t>
      </w:r>
      <w:r w:rsidR="00DE0FA4">
        <w:rPr>
          <w:rFonts w:ascii="Arial" w:hAnsi="Arial" w:cs="Arial"/>
          <w:sz w:val="20"/>
          <w:szCs w:val="20"/>
        </w:rPr>
        <w:t>die</w:t>
      </w:r>
      <w:r>
        <w:rPr>
          <w:rFonts w:ascii="Arial" w:hAnsi="Arial" w:cs="Arial"/>
          <w:sz w:val="20"/>
          <w:szCs w:val="20"/>
        </w:rPr>
        <w:t xml:space="preserve"> die Ausnutzung der Baugrundstücke darstellen. </w:t>
      </w:r>
      <w:r w:rsidR="00DE0FA4">
        <w:rPr>
          <w:rFonts w:ascii="Arial" w:hAnsi="Arial" w:cs="Arial"/>
          <w:sz w:val="20"/>
          <w:szCs w:val="20"/>
        </w:rPr>
        <w:t>Grundlage für die Berechnung sind die Regelungen der Baunutzungsverordnung 1990</w:t>
      </w:r>
      <w:r w:rsidR="00976AB2">
        <w:rPr>
          <w:rFonts w:ascii="Arial" w:hAnsi="Arial" w:cs="Arial"/>
          <w:sz w:val="20"/>
          <w:szCs w:val="20"/>
        </w:rPr>
        <w:t xml:space="preserve"> (im folgenden BauNVO)</w:t>
      </w:r>
      <w:r w:rsidR="00DE0FA4">
        <w:rPr>
          <w:rFonts w:ascii="Arial" w:hAnsi="Arial" w:cs="Arial"/>
          <w:sz w:val="20"/>
          <w:szCs w:val="20"/>
        </w:rPr>
        <w:t>. Die abweichenden Regelungen der Baunutzungsverordnungen 1962, 1968 und 1977 bleiben unberücksichtigt</w:t>
      </w:r>
      <w:r w:rsidR="007C37C3">
        <w:rPr>
          <w:rFonts w:ascii="Arial" w:hAnsi="Arial" w:cs="Arial"/>
          <w:sz w:val="20"/>
          <w:szCs w:val="20"/>
        </w:rPr>
        <w:t>, da sie</w:t>
      </w:r>
      <w:r w:rsidR="00DE0FA4">
        <w:rPr>
          <w:rFonts w:ascii="Arial" w:hAnsi="Arial" w:cs="Arial"/>
          <w:sz w:val="20"/>
          <w:szCs w:val="20"/>
        </w:rPr>
        <w:t xml:space="preserve"> </w:t>
      </w:r>
      <w:r w:rsidR="007C37C3">
        <w:rPr>
          <w:rFonts w:ascii="Arial" w:hAnsi="Arial" w:cs="Arial"/>
          <w:sz w:val="20"/>
          <w:szCs w:val="20"/>
        </w:rPr>
        <w:t xml:space="preserve">bei der </w:t>
      </w:r>
      <w:r w:rsidR="00DE0FA4">
        <w:rPr>
          <w:rFonts w:ascii="Arial" w:hAnsi="Arial" w:cs="Arial"/>
          <w:sz w:val="20"/>
          <w:szCs w:val="20"/>
        </w:rPr>
        <w:t xml:space="preserve">Darstellung der städtebaulichen Dichte nicht ins Gewicht fallen. </w:t>
      </w:r>
    </w:p>
    <w:p w:rsidR="003325AE" w:rsidRPr="00FB5B9C" w:rsidRDefault="003325AE" w:rsidP="00F83DEA">
      <w:pPr>
        <w:widowControl w:val="0"/>
        <w:rPr>
          <w:rFonts w:cs="Arial"/>
          <w:noProof w:val="0"/>
        </w:rPr>
      </w:pPr>
      <w:r w:rsidRPr="00FB5B9C">
        <w:rPr>
          <w:rFonts w:cs="Arial"/>
          <w:noProof w:val="0"/>
        </w:rPr>
        <w:t xml:space="preserve">Die </w:t>
      </w:r>
      <w:r w:rsidRPr="002250E5">
        <w:rPr>
          <w:rFonts w:cs="Arial"/>
          <w:b/>
          <w:noProof w:val="0"/>
        </w:rPr>
        <w:t xml:space="preserve">Grundflächenzahl </w:t>
      </w:r>
      <w:r w:rsidR="00FB5B9C" w:rsidRPr="002250E5">
        <w:rPr>
          <w:rFonts w:cs="Arial"/>
          <w:b/>
          <w:noProof w:val="0"/>
        </w:rPr>
        <w:t>(GRZ)</w:t>
      </w:r>
      <w:r w:rsidR="00FB5B9C">
        <w:rPr>
          <w:rFonts w:cs="Arial"/>
          <w:noProof w:val="0"/>
        </w:rPr>
        <w:t xml:space="preserve"> </w:t>
      </w:r>
      <w:r w:rsidRPr="00FB5B9C">
        <w:rPr>
          <w:rFonts w:cs="Arial"/>
          <w:noProof w:val="0"/>
        </w:rPr>
        <w:t xml:space="preserve">gibt </w:t>
      </w:r>
      <w:r w:rsidR="00FB5B9C">
        <w:rPr>
          <w:rFonts w:cs="Arial"/>
          <w:noProof w:val="0"/>
        </w:rPr>
        <w:t xml:space="preserve">den Anteil der mit baulichen Anlagen überdeckten Fläche im Verhältnis zum Baugrundstück an </w:t>
      </w:r>
      <w:r w:rsidRPr="00FB5B9C">
        <w:rPr>
          <w:rFonts w:cs="Arial"/>
          <w:noProof w:val="0"/>
        </w:rPr>
        <w:t>(vgl. § 19 Abs. 1 BauNVO)</w:t>
      </w:r>
      <w:r w:rsidR="007C37C3">
        <w:rPr>
          <w:rFonts w:cs="Arial"/>
          <w:noProof w:val="0"/>
        </w:rPr>
        <w:t>.</w:t>
      </w:r>
    </w:p>
    <w:p w:rsidR="003325AE" w:rsidRDefault="003325AE" w:rsidP="00F83DEA">
      <w:pPr>
        <w:widowControl w:val="0"/>
        <w:rPr>
          <w:rFonts w:cs="Arial"/>
          <w:noProof w:val="0"/>
        </w:rPr>
      </w:pPr>
      <w:r w:rsidRPr="00FB5B9C">
        <w:rPr>
          <w:rFonts w:cs="Arial"/>
          <w:noProof w:val="0"/>
        </w:rPr>
        <w:t xml:space="preserve">Die </w:t>
      </w:r>
      <w:r w:rsidRPr="002250E5">
        <w:rPr>
          <w:rFonts w:cs="Arial"/>
          <w:b/>
          <w:noProof w:val="0"/>
        </w:rPr>
        <w:t>Geschossflächenzahl (GFZ)</w:t>
      </w:r>
      <w:r w:rsidRPr="00FB5B9C">
        <w:rPr>
          <w:rFonts w:cs="Arial"/>
          <w:noProof w:val="0"/>
        </w:rPr>
        <w:t xml:space="preserve"> ist eine Größe, die die Intensität der Nutzung einer Fläche widerspiegelt. </w:t>
      </w:r>
      <w:r w:rsidR="00FB5B9C">
        <w:rPr>
          <w:rFonts w:cs="Arial"/>
          <w:noProof w:val="0"/>
        </w:rPr>
        <w:t>Sie</w:t>
      </w:r>
      <w:r w:rsidRPr="00FB5B9C">
        <w:rPr>
          <w:rFonts w:cs="Arial"/>
          <w:noProof w:val="0"/>
        </w:rPr>
        <w:t xml:space="preserve"> gibt an, wie viel Quadratmeter </w:t>
      </w:r>
      <w:r w:rsidRPr="00AD6AC3">
        <w:rPr>
          <w:rFonts w:cs="Arial"/>
          <w:noProof w:val="0"/>
        </w:rPr>
        <w:t>Geschossfläche</w:t>
      </w:r>
      <w:r w:rsidRPr="00FB5B9C">
        <w:rPr>
          <w:rFonts w:cs="Arial"/>
          <w:noProof w:val="0"/>
        </w:rPr>
        <w:t xml:space="preserve"> je Quadratmeter Grundstücksfläche </w:t>
      </w:r>
      <w:r w:rsidR="00FB5B9C">
        <w:rPr>
          <w:rFonts w:cs="Arial"/>
          <w:noProof w:val="0"/>
        </w:rPr>
        <w:t>vorhanden sind</w:t>
      </w:r>
      <w:r w:rsidRPr="00FB5B9C">
        <w:rPr>
          <w:rFonts w:cs="Arial"/>
          <w:noProof w:val="0"/>
        </w:rPr>
        <w:t xml:space="preserve"> </w:t>
      </w:r>
      <w:r w:rsidR="00AD6AC3">
        <w:rPr>
          <w:rFonts w:cs="Arial"/>
          <w:noProof w:val="0"/>
        </w:rPr>
        <w:t>und berechnet sich nach</w:t>
      </w:r>
      <w:r w:rsidR="00CE0E50">
        <w:rPr>
          <w:rFonts w:cs="Arial"/>
          <w:noProof w:val="0"/>
        </w:rPr>
        <w:t xml:space="preserve"> </w:t>
      </w:r>
      <w:r w:rsidR="00AD6AC3">
        <w:rPr>
          <w:rFonts w:cs="Arial"/>
          <w:noProof w:val="0"/>
        </w:rPr>
        <w:t>den Au</w:t>
      </w:r>
      <w:r w:rsidR="00CE0E50">
        <w:rPr>
          <w:rFonts w:cs="Arial"/>
          <w:noProof w:val="0"/>
        </w:rPr>
        <w:t>ße</w:t>
      </w:r>
      <w:r w:rsidR="00AD6AC3">
        <w:rPr>
          <w:rFonts w:cs="Arial"/>
          <w:noProof w:val="0"/>
        </w:rPr>
        <w:t xml:space="preserve">nmaßen aller Vollgeschosse </w:t>
      </w:r>
      <w:r w:rsidR="005D1CE1">
        <w:rPr>
          <w:rFonts w:cs="Arial"/>
          <w:noProof w:val="0"/>
        </w:rPr>
        <w:t xml:space="preserve">der Gebäude </w:t>
      </w:r>
      <w:r w:rsidRPr="00FB5B9C">
        <w:rPr>
          <w:rFonts w:cs="Arial"/>
          <w:noProof w:val="0"/>
        </w:rPr>
        <w:t xml:space="preserve">(vgl. § 20 Abs. 2 </w:t>
      </w:r>
      <w:r w:rsidR="00AD6AC3">
        <w:rPr>
          <w:rFonts w:cs="Arial"/>
          <w:noProof w:val="0"/>
        </w:rPr>
        <w:t xml:space="preserve">und 3 </w:t>
      </w:r>
      <w:r w:rsidRPr="00FB5B9C">
        <w:rPr>
          <w:rFonts w:cs="Arial"/>
          <w:noProof w:val="0"/>
        </w:rPr>
        <w:t xml:space="preserve">BauNVO). </w:t>
      </w:r>
    </w:p>
    <w:p w:rsidR="003325AE" w:rsidRPr="001E6C03" w:rsidRDefault="003325AE" w:rsidP="00F83DEA">
      <w:pPr>
        <w:pStyle w:val="StandardWeb"/>
        <w:spacing w:before="0" w:beforeAutospacing="0" w:after="120" w:afterAutospacing="0"/>
        <w:jc w:val="both"/>
        <w:rPr>
          <w:rFonts w:ascii="Arial" w:hAnsi="Arial" w:cs="Arial"/>
          <w:sz w:val="20"/>
          <w:szCs w:val="20"/>
        </w:rPr>
      </w:pPr>
      <w:r w:rsidRPr="00F205D9">
        <w:rPr>
          <w:rFonts w:ascii="Arial" w:hAnsi="Arial" w:cs="Arial"/>
          <w:sz w:val="20"/>
          <w:szCs w:val="20"/>
        </w:rPr>
        <w:t xml:space="preserve">In Anlehnung an die Definitionen der Baunutzungsverordnung zeigen die Karten </w:t>
      </w:r>
      <w:r>
        <w:rPr>
          <w:rFonts w:ascii="Arial" w:hAnsi="Arial" w:cs="Arial"/>
          <w:sz w:val="20"/>
          <w:szCs w:val="20"/>
        </w:rPr>
        <w:t>die Kennwerte der</w:t>
      </w:r>
      <w:r w:rsidR="00D5154B">
        <w:rPr>
          <w:rFonts w:ascii="Arial" w:hAnsi="Arial" w:cs="Arial"/>
          <w:sz w:val="20"/>
          <w:szCs w:val="20"/>
        </w:rPr>
        <w:t xml:space="preserve"> </w:t>
      </w:r>
      <w:r>
        <w:rPr>
          <w:rFonts w:ascii="Arial" w:hAnsi="Arial" w:cs="Arial"/>
          <w:sz w:val="20"/>
          <w:szCs w:val="20"/>
        </w:rPr>
        <w:t>städtebaulichen Dichte</w:t>
      </w:r>
      <w:r w:rsidRPr="00F205D9">
        <w:rPr>
          <w:rFonts w:ascii="Arial" w:hAnsi="Arial" w:cs="Arial"/>
          <w:sz w:val="20"/>
          <w:szCs w:val="20"/>
        </w:rPr>
        <w:t xml:space="preserve"> </w:t>
      </w:r>
      <w:r>
        <w:rPr>
          <w:rFonts w:ascii="Arial" w:hAnsi="Arial" w:cs="Arial"/>
          <w:sz w:val="20"/>
          <w:szCs w:val="20"/>
        </w:rPr>
        <w:t xml:space="preserve">auf der Ebene </w:t>
      </w:r>
      <w:r w:rsidRPr="00F205D9">
        <w:rPr>
          <w:rFonts w:ascii="Arial" w:hAnsi="Arial" w:cs="Arial"/>
          <w:sz w:val="20"/>
          <w:szCs w:val="20"/>
        </w:rPr>
        <w:t xml:space="preserve">der einzelnen </w:t>
      </w:r>
      <w:r w:rsidRPr="002250E5">
        <w:rPr>
          <w:rFonts w:ascii="Arial" w:hAnsi="Arial" w:cs="Arial"/>
          <w:b/>
          <w:sz w:val="20"/>
          <w:szCs w:val="20"/>
        </w:rPr>
        <w:t>Blöcke</w:t>
      </w:r>
      <w:r w:rsidRPr="00F205D9">
        <w:rPr>
          <w:rFonts w:ascii="Arial" w:hAnsi="Arial" w:cs="Arial"/>
          <w:sz w:val="20"/>
          <w:szCs w:val="20"/>
        </w:rPr>
        <w:t xml:space="preserve">, da eine </w:t>
      </w:r>
      <w:r>
        <w:rPr>
          <w:rFonts w:ascii="Arial" w:hAnsi="Arial" w:cs="Arial"/>
          <w:sz w:val="20"/>
          <w:szCs w:val="20"/>
        </w:rPr>
        <w:t>grundstücksscharfe Darstellung für eine Übersichtskarte nicht geeignet ist</w:t>
      </w:r>
      <w:r w:rsidRPr="00F205D9">
        <w:rPr>
          <w:rFonts w:ascii="Arial" w:hAnsi="Arial" w:cs="Arial"/>
          <w:sz w:val="20"/>
          <w:szCs w:val="20"/>
        </w:rPr>
        <w:t xml:space="preserve">. </w:t>
      </w:r>
      <w:r>
        <w:rPr>
          <w:rFonts w:ascii="Arial" w:hAnsi="Arial" w:cs="Arial"/>
          <w:sz w:val="20"/>
          <w:szCs w:val="20"/>
        </w:rPr>
        <w:t xml:space="preserve">Bei der vorliegenden Untersuchung wurde der </w:t>
      </w:r>
      <w:r w:rsidRPr="00327B1A">
        <w:rPr>
          <w:rFonts w:ascii="Arial" w:hAnsi="Arial" w:cs="Arial"/>
          <w:b/>
          <w:sz w:val="20"/>
          <w:szCs w:val="20"/>
        </w:rPr>
        <w:t>real vorliegende Bestand</w:t>
      </w:r>
      <w:r>
        <w:rPr>
          <w:rFonts w:ascii="Arial" w:hAnsi="Arial" w:cs="Arial"/>
          <w:sz w:val="20"/>
          <w:szCs w:val="20"/>
        </w:rPr>
        <w:t xml:space="preserve"> dieser beiden Planungsgrößen ermittelt und zeigt somit die aktuelle Nutzungsintensität aller mit Gebäuden bebauten Flächen.</w:t>
      </w:r>
    </w:p>
    <w:p w:rsidR="003325AE" w:rsidRDefault="003325AE" w:rsidP="00F83DEA">
      <w:pPr>
        <w:widowControl w:val="0"/>
        <w:rPr>
          <w:rFonts w:cs="Arial"/>
          <w:color w:val="auto"/>
        </w:rPr>
      </w:pPr>
      <w:r w:rsidRPr="00E90AA2">
        <w:rPr>
          <w:rFonts w:cs="Arial"/>
          <w:color w:val="auto"/>
        </w:rPr>
        <w:t xml:space="preserve">Die Karten sollen einen Vergleich der realisierten </w:t>
      </w:r>
      <w:r>
        <w:rPr>
          <w:rFonts w:cs="Arial"/>
          <w:color w:val="auto"/>
        </w:rPr>
        <w:t>Bauflächen</w:t>
      </w:r>
      <w:r w:rsidRPr="00E90AA2">
        <w:rPr>
          <w:rFonts w:cs="Arial"/>
          <w:color w:val="auto"/>
        </w:rPr>
        <w:t xml:space="preserve">ausnutzung mit den Darstellungen und Festsetzungen der Berliner Bauleitpläne </w:t>
      </w:r>
      <w:r>
        <w:rPr>
          <w:rFonts w:cs="Arial"/>
          <w:color w:val="auto"/>
        </w:rPr>
        <w:t>(Flächennutzungsplan</w:t>
      </w:r>
      <w:r w:rsidR="00686ACE">
        <w:rPr>
          <w:rFonts w:cs="Arial"/>
          <w:color w:val="auto"/>
        </w:rPr>
        <w:t>, Baunutzungsplan</w:t>
      </w:r>
      <w:r>
        <w:rPr>
          <w:rFonts w:cs="Arial"/>
          <w:color w:val="auto"/>
        </w:rPr>
        <w:t xml:space="preserve"> und Bebauungspläne)</w:t>
      </w:r>
      <w:r w:rsidR="00DF27CF">
        <w:rPr>
          <w:rFonts w:cs="Arial"/>
          <w:color w:val="auto"/>
        </w:rPr>
        <w:t xml:space="preserve"> </w:t>
      </w:r>
      <w:r w:rsidRPr="00E90AA2">
        <w:rPr>
          <w:rFonts w:cs="Arial"/>
          <w:color w:val="auto"/>
        </w:rPr>
        <w:t xml:space="preserve">und </w:t>
      </w:r>
      <w:r>
        <w:rPr>
          <w:rFonts w:cs="Arial"/>
          <w:color w:val="auto"/>
        </w:rPr>
        <w:t xml:space="preserve">Hinweise für </w:t>
      </w:r>
      <w:r w:rsidRPr="00E90AA2">
        <w:rPr>
          <w:rFonts w:cs="Arial"/>
          <w:color w:val="auto"/>
        </w:rPr>
        <w:t xml:space="preserve">die Lokalisierung von Über- </w:t>
      </w:r>
      <w:r>
        <w:rPr>
          <w:rFonts w:cs="Arial"/>
          <w:color w:val="auto"/>
        </w:rPr>
        <w:t>oder</w:t>
      </w:r>
      <w:r w:rsidRPr="00E90AA2">
        <w:rPr>
          <w:rFonts w:cs="Arial"/>
          <w:color w:val="auto"/>
        </w:rPr>
        <w:t xml:space="preserve"> Unternutzung von </w:t>
      </w:r>
      <w:r>
        <w:rPr>
          <w:rFonts w:cs="Arial"/>
          <w:color w:val="auto"/>
        </w:rPr>
        <w:t>F</w:t>
      </w:r>
      <w:r w:rsidRPr="00E90AA2">
        <w:rPr>
          <w:rFonts w:cs="Arial"/>
          <w:color w:val="auto"/>
        </w:rPr>
        <w:t>lächen ermöglichen. Deshalb sind die Schwellenwerte der Darstellung</w:t>
      </w:r>
      <w:r>
        <w:rPr>
          <w:rFonts w:cs="Arial"/>
          <w:color w:val="auto"/>
        </w:rPr>
        <w:t xml:space="preserve"> bzw. die Klassengrenzen</w:t>
      </w:r>
      <w:r w:rsidRPr="00E90AA2">
        <w:rPr>
          <w:rFonts w:cs="Arial"/>
          <w:color w:val="auto"/>
        </w:rPr>
        <w:t xml:space="preserve"> in Anlehnung an die des Baunutzungs- und Flächennutzungsplanes definiert. Um in den dicht bebauten Altbaugebieten eine differenziertere Aussage zu erhalten, wurden </w:t>
      </w:r>
      <w:r>
        <w:rPr>
          <w:rFonts w:cs="Arial"/>
          <w:color w:val="auto"/>
        </w:rPr>
        <w:t>über der Geschoßflächenzahl von 1,5 weitere Klassen gebildet.</w:t>
      </w:r>
    </w:p>
    <w:p w:rsidR="003325AE" w:rsidRPr="001E6C03" w:rsidRDefault="003325AE" w:rsidP="009A5DDA">
      <w:pPr>
        <w:pStyle w:val="berschrift2"/>
        <w:rPr>
          <w:rFonts w:cs="Arial"/>
        </w:rPr>
      </w:pPr>
      <w:r w:rsidRPr="001E6C03">
        <w:rPr>
          <w:rFonts w:cs="Arial"/>
        </w:rPr>
        <w:t>Datengrundlage</w:t>
      </w:r>
    </w:p>
    <w:p w:rsidR="003325AE" w:rsidRPr="001E6C03" w:rsidRDefault="003325AE" w:rsidP="00F83DEA">
      <w:pPr>
        <w:pStyle w:val="StandardWeb"/>
        <w:spacing w:before="0" w:beforeAutospacing="0" w:after="120" w:afterAutospacing="0"/>
        <w:jc w:val="both"/>
        <w:rPr>
          <w:rFonts w:ascii="Arial" w:hAnsi="Arial" w:cs="Arial"/>
          <w:sz w:val="20"/>
          <w:szCs w:val="20"/>
        </w:rPr>
      </w:pPr>
      <w:r w:rsidRPr="001E6C03">
        <w:rPr>
          <w:rFonts w:ascii="Arial" w:hAnsi="Arial" w:cs="Arial"/>
          <w:sz w:val="20"/>
          <w:szCs w:val="20"/>
        </w:rPr>
        <w:t xml:space="preserve">Für die </w:t>
      </w:r>
      <w:r>
        <w:rPr>
          <w:rFonts w:ascii="Arial" w:hAnsi="Arial" w:cs="Arial"/>
          <w:sz w:val="20"/>
          <w:szCs w:val="20"/>
        </w:rPr>
        <w:t>Berechnung</w:t>
      </w:r>
      <w:r w:rsidRPr="001E6C03">
        <w:rPr>
          <w:rFonts w:ascii="Arial" w:hAnsi="Arial" w:cs="Arial"/>
          <w:sz w:val="20"/>
          <w:szCs w:val="20"/>
        </w:rPr>
        <w:t xml:space="preserve"> der</w:t>
      </w:r>
      <w:r>
        <w:rPr>
          <w:rFonts w:ascii="Arial" w:hAnsi="Arial" w:cs="Arial"/>
          <w:sz w:val="20"/>
          <w:szCs w:val="20"/>
        </w:rPr>
        <w:t xml:space="preserve"> Grundflächen-</w:t>
      </w:r>
      <w:r w:rsidR="00D5154B">
        <w:rPr>
          <w:rFonts w:ascii="Arial" w:hAnsi="Arial" w:cs="Arial"/>
          <w:sz w:val="20"/>
          <w:szCs w:val="20"/>
        </w:rPr>
        <w:t xml:space="preserve"> </w:t>
      </w:r>
      <w:r>
        <w:rPr>
          <w:rFonts w:ascii="Arial" w:hAnsi="Arial" w:cs="Arial"/>
          <w:sz w:val="20"/>
          <w:szCs w:val="20"/>
        </w:rPr>
        <w:t xml:space="preserve">und </w:t>
      </w:r>
      <w:r w:rsidRPr="001E6C03">
        <w:rPr>
          <w:rFonts w:ascii="Arial" w:hAnsi="Arial" w:cs="Arial"/>
          <w:sz w:val="20"/>
          <w:szCs w:val="20"/>
        </w:rPr>
        <w:t xml:space="preserve">Geschossflächenzahl wurde </w:t>
      </w:r>
      <w:r>
        <w:rPr>
          <w:rFonts w:ascii="Arial" w:hAnsi="Arial" w:cs="Arial"/>
          <w:sz w:val="20"/>
          <w:szCs w:val="20"/>
        </w:rPr>
        <w:t xml:space="preserve">eine </w:t>
      </w:r>
      <w:r w:rsidRPr="001E6C03">
        <w:rPr>
          <w:rFonts w:ascii="Arial" w:hAnsi="Arial" w:cs="Arial"/>
          <w:sz w:val="20"/>
          <w:szCs w:val="20"/>
        </w:rPr>
        <w:t xml:space="preserve">Verschneidung der Geometrien der Gebäude der Automatisierten Liegenschaftskarte Berlin (ALK) als Teil des Liegenschaftskatasters mit der Blockkarte </w:t>
      </w:r>
      <w:r>
        <w:rPr>
          <w:rFonts w:ascii="Arial" w:hAnsi="Arial" w:cs="Arial"/>
          <w:sz w:val="20"/>
          <w:szCs w:val="20"/>
        </w:rPr>
        <w:t xml:space="preserve">des Informationssystems Stadt und Umwelt </w:t>
      </w:r>
      <w:r w:rsidRPr="001E6C03">
        <w:rPr>
          <w:rFonts w:ascii="Arial" w:hAnsi="Arial" w:cs="Arial"/>
          <w:sz w:val="20"/>
          <w:szCs w:val="20"/>
        </w:rPr>
        <w:t xml:space="preserve">1:5.000 vorgenommen. </w:t>
      </w:r>
    </w:p>
    <w:p w:rsidR="003325AE" w:rsidRDefault="003325AE" w:rsidP="00C263DF">
      <w:pPr>
        <w:pStyle w:val="StandardWeb"/>
        <w:spacing w:before="0" w:beforeAutospacing="0" w:after="120" w:afterAutospacing="0"/>
        <w:rPr>
          <w:rFonts w:ascii="Arial" w:hAnsi="Arial" w:cs="Arial"/>
          <w:sz w:val="20"/>
          <w:szCs w:val="20"/>
        </w:rPr>
      </w:pPr>
      <w:r w:rsidRPr="001E6C03">
        <w:rPr>
          <w:rFonts w:ascii="Arial" w:hAnsi="Arial" w:cs="Arial"/>
          <w:sz w:val="20"/>
          <w:szCs w:val="20"/>
        </w:rPr>
        <w:t>Hierfür wurden folgende Datengrundlagen herangezogen:</w:t>
      </w:r>
    </w:p>
    <w:p w:rsidR="003325AE" w:rsidRDefault="003325AE" w:rsidP="00C263DF">
      <w:pPr>
        <w:numPr>
          <w:ilvl w:val="0"/>
          <w:numId w:val="21"/>
        </w:numPr>
        <w:jc w:val="left"/>
        <w:rPr>
          <w:rFonts w:cs="Arial"/>
          <w:noProof w:val="0"/>
        </w:rPr>
      </w:pPr>
      <w:r w:rsidRPr="00327B1A">
        <w:rPr>
          <w:rFonts w:cs="Arial"/>
          <w:b/>
          <w:noProof w:val="0"/>
        </w:rPr>
        <w:t>Blockkarte 1 : 5 000</w:t>
      </w:r>
      <w:r w:rsidRPr="001E6C03">
        <w:rPr>
          <w:rFonts w:cs="Arial"/>
          <w:noProof w:val="0"/>
        </w:rPr>
        <w:t xml:space="preserve"> (ISU5) des ISU (Informationssystem Stadt und Umwelt) der Senatsverwaltung für Stadtentwicklung, III F, Stand 31.12.2005</w:t>
      </w:r>
    </w:p>
    <w:p w:rsidR="00BD67DD" w:rsidRPr="00BD67DD" w:rsidRDefault="00BD67DD" w:rsidP="00C263DF">
      <w:pPr>
        <w:numPr>
          <w:ilvl w:val="0"/>
          <w:numId w:val="21"/>
        </w:numPr>
        <w:jc w:val="left"/>
        <w:rPr>
          <w:rFonts w:cs="Arial"/>
          <w:noProof w:val="0"/>
        </w:rPr>
      </w:pPr>
      <w:r>
        <w:t>Karte der Gebäudegeschosse auf Grundlage der Automatisierten Liegenschaftskarte (ALK), Stand 30.6.2011</w:t>
      </w:r>
    </w:p>
    <w:p w:rsidR="00BD67DD" w:rsidRDefault="00BD67DD" w:rsidP="00BD67DD">
      <w:pPr>
        <w:ind w:left="360"/>
        <w:jc w:val="left"/>
        <w:rPr>
          <w:rFonts w:cs="Arial"/>
          <w:noProof w:val="0"/>
        </w:rPr>
      </w:pPr>
      <w:r>
        <w:rPr>
          <w:rFonts w:cs="Arial"/>
          <w:noProof w:val="0"/>
        </w:rPr>
        <w:t>sowie die jeweils dazugehörigen Sachdaten</w:t>
      </w:r>
    </w:p>
    <w:p w:rsidR="003325AE" w:rsidRDefault="003325AE" w:rsidP="00C263DF">
      <w:pPr>
        <w:numPr>
          <w:ilvl w:val="0"/>
          <w:numId w:val="23"/>
        </w:numPr>
        <w:jc w:val="left"/>
        <w:rPr>
          <w:rFonts w:cs="Arial"/>
          <w:noProof w:val="0"/>
        </w:rPr>
      </w:pPr>
      <w:r>
        <w:rPr>
          <w:rFonts w:cs="Arial"/>
          <w:noProof w:val="0"/>
        </w:rPr>
        <w:lastRenderedPageBreak/>
        <w:t>Geschossigkeit der Gebäude</w:t>
      </w:r>
    </w:p>
    <w:p w:rsidR="003325AE" w:rsidRDefault="003325AE" w:rsidP="00C263DF">
      <w:pPr>
        <w:numPr>
          <w:ilvl w:val="0"/>
          <w:numId w:val="23"/>
        </w:numPr>
        <w:jc w:val="left"/>
        <w:rPr>
          <w:rFonts w:cs="Arial"/>
          <w:noProof w:val="0"/>
        </w:rPr>
      </w:pPr>
      <w:r>
        <w:rPr>
          <w:rFonts w:cs="Arial"/>
          <w:noProof w:val="0"/>
        </w:rPr>
        <w:t xml:space="preserve">Gebäudetyp </w:t>
      </w:r>
    </w:p>
    <w:p w:rsidR="003325AE" w:rsidRPr="00390997" w:rsidRDefault="003325AE" w:rsidP="00C263DF">
      <w:pPr>
        <w:numPr>
          <w:ilvl w:val="0"/>
          <w:numId w:val="23"/>
        </w:numPr>
        <w:jc w:val="left"/>
        <w:rPr>
          <w:rFonts w:cs="Arial"/>
          <w:noProof w:val="0"/>
        </w:rPr>
      </w:pPr>
      <w:r w:rsidRPr="00390997">
        <w:rPr>
          <w:rFonts w:cs="Arial"/>
          <w:noProof w:val="0"/>
        </w:rPr>
        <w:t>Flächennutzung der Blöcke / Teilblöcke</w:t>
      </w:r>
    </w:p>
    <w:p w:rsidR="003325AE" w:rsidRDefault="003325AE" w:rsidP="00C263DF">
      <w:pPr>
        <w:numPr>
          <w:ilvl w:val="0"/>
          <w:numId w:val="23"/>
        </w:numPr>
        <w:jc w:val="left"/>
        <w:rPr>
          <w:rFonts w:cs="Arial"/>
          <w:noProof w:val="0"/>
        </w:rPr>
      </w:pPr>
      <w:r w:rsidRPr="00390997">
        <w:rPr>
          <w:rFonts w:cs="Arial"/>
          <w:noProof w:val="0"/>
        </w:rPr>
        <w:t>Stadtstrukturtyp/Flächentyp d</w:t>
      </w:r>
      <w:r>
        <w:rPr>
          <w:rFonts w:cs="Arial"/>
          <w:noProof w:val="0"/>
        </w:rPr>
        <w:t>er Blöcke / Teilblöcke.</w:t>
      </w:r>
    </w:p>
    <w:p w:rsidR="003325AE" w:rsidRDefault="003325AE" w:rsidP="00F83DEA">
      <w:pPr>
        <w:pStyle w:val="StandardWeb"/>
        <w:spacing w:before="0" w:beforeAutospacing="0" w:after="120" w:afterAutospacing="0"/>
        <w:jc w:val="both"/>
        <w:rPr>
          <w:rFonts w:ascii="Arial" w:hAnsi="Arial" w:cs="Arial"/>
          <w:sz w:val="20"/>
          <w:szCs w:val="20"/>
        </w:rPr>
      </w:pPr>
      <w:r w:rsidRPr="001E6C03">
        <w:rPr>
          <w:rFonts w:ascii="Arial" w:hAnsi="Arial" w:cs="Arial"/>
          <w:sz w:val="20"/>
          <w:szCs w:val="20"/>
        </w:rPr>
        <w:t>Mit Hilfe der angegebe</w:t>
      </w:r>
      <w:r>
        <w:rPr>
          <w:rFonts w:ascii="Arial" w:hAnsi="Arial" w:cs="Arial"/>
          <w:sz w:val="20"/>
          <w:szCs w:val="20"/>
        </w:rPr>
        <w:t>ne</w:t>
      </w:r>
      <w:r w:rsidRPr="001E6C03">
        <w:rPr>
          <w:rFonts w:ascii="Arial" w:hAnsi="Arial" w:cs="Arial"/>
          <w:sz w:val="20"/>
          <w:szCs w:val="20"/>
        </w:rPr>
        <w:t>n Datengrundlagen wurde für insgesamt 24</w:t>
      </w:r>
      <w:r>
        <w:rPr>
          <w:rFonts w:ascii="Arial" w:hAnsi="Arial" w:cs="Arial"/>
          <w:sz w:val="20"/>
          <w:szCs w:val="20"/>
        </w:rPr>
        <w:t xml:space="preserve"> </w:t>
      </w:r>
      <w:r w:rsidRPr="001E6C03">
        <w:rPr>
          <w:rFonts w:ascii="Arial" w:hAnsi="Arial" w:cs="Arial"/>
          <w:sz w:val="20"/>
          <w:szCs w:val="20"/>
        </w:rPr>
        <w:t>669</w:t>
      </w:r>
      <w:r w:rsidRPr="001E6C03">
        <w:rPr>
          <w:rStyle w:val="Fett"/>
          <w:rFonts w:ascii="Arial" w:hAnsi="Arial" w:cs="Arial"/>
          <w:sz w:val="20"/>
          <w:szCs w:val="20"/>
        </w:rPr>
        <w:t xml:space="preserve"> </w:t>
      </w:r>
      <w:r w:rsidRPr="001E6C03">
        <w:rPr>
          <w:rStyle w:val="Fett"/>
          <w:rFonts w:ascii="Arial" w:hAnsi="Arial" w:cs="Arial"/>
          <w:b w:val="0"/>
          <w:sz w:val="20"/>
          <w:szCs w:val="20"/>
        </w:rPr>
        <w:t>Blockflächen und Blockteilflächen</w:t>
      </w:r>
      <w:r w:rsidRPr="001E6C03">
        <w:rPr>
          <w:rStyle w:val="Fett"/>
          <w:rFonts w:ascii="Arial" w:hAnsi="Arial" w:cs="Arial"/>
          <w:sz w:val="20"/>
          <w:szCs w:val="20"/>
        </w:rPr>
        <w:t xml:space="preserve"> </w:t>
      </w:r>
      <w:r w:rsidRPr="001E6C03">
        <w:rPr>
          <w:rStyle w:val="Fett"/>
          <w:rFonts w:ascii="Arial" w:hAnsi="Arial" w:cs="Arial"/>
          <w:b w:val="0"/>
          <w:sz w:val="20"/>
          <w:szCs w:val="20"/>
        </w:rPr>
        <w:t>die</w:t>
      </w:r>
      <w:r>
        <w:rPr>
          <w:rStyle w:val="Fett"/>
          <w:rFonts w:ascii="Arial" w:hAnsi="Arial" w:cs="Arial"/>
          <w:sz w:val="20"/>
          <w:szCs w:val="20"/>
        </w:rPr>
        <w:t xml:space="preserve"> </w:t>
      </w:r>
      <w:r w:rsidRPr="00BD4A9A">
        <w:rPr>
          <w:rStyle w:val="Fett"/>
          <w:rFonts w:ascii="Arial" w:hAnsi="Arial" w:cs="Arial"/>
          <w:b w:val="0"/>
          <w:sz w:val="20"/>
          <w:szCs w:val="20"/>
        </w:rPr>
        <w:t>Grundflächen</w:t>
      </w:r>
      <w:r>
        <w:rPr>
          <w:rStyle w:val="Fett"/>
          <w:rFonts w:ascii="Arial" w:hAnsi="Arial" w:cs="Arial"/>
          <w:b w:val="0"/>
          <w:sz w:val="20"/>
          <w:szCs w:val="20"/>
        </w:rPr>
        <w:t>zahl</w:t>
      </w:r>
      <w:r w:rsidRPr="00BD4A9A">
        <w:rPr>
          <w:rStyle w:val="Fett"/>
          <w:rFonts w:ascii="Arial" w:hAnsi="Arial" w:cs="Arial"/>
          <w:b w:val="0"/>
          <w:sz w:val="20"/>
          <w:szCs w:val="20"/>
        </w:rPr>
        <w:t xml:space="preserve"> (GRZ) und</w:t>
      </w:r>
      <w:r>
        <w:rPr>
          <w:rStyle w:val="Fett"/>
          <w:rFonts w:ascii="Arial" w:hAnsi="Arial" w:cs="Arial"/>
          <w:sz w:val="20"/>
          <w:szCs w:val="20"/>
        </w:rPr>
        <w:t xml:space="preserve"> </w:t>
      </w:r>
      <w:r>
        <w:rPr>
          <w:rStyle w:val="Fett"/>
          <w:rFonts w:ascii="Arial" w:hAnsi="Arial" w:cs="Arial"/>
          <w:b w:val="0"/>
          <w:sz w:val="20"/>
          <w:szCs w:val="20"/>
        </w:rPr>
        <w:t xml:space="preserve">die </w:t>
      </w:r>
      <w:r w:rsidRPr="001E6C03">
        <w:rPr>
          <w:rStyle w:val="Fett"/>
          <w:rFonts w:ascii="Arial" w:hAnsi="Arial" w:cs="Arial"/>
          <w:b w:val="0"/>
          <w:sz w:val="20"/>
          <w:szCs w:val="20"/>
        </w:rPr>
        <w:t>Geschossflächenzahl (GFZ)</w:t>
      </w:r>
      <w:r w:rsidRPr="001E6C03">
        <w:rPr>
          <w:rStyle w:val="Fett"/>
          <w:rFonts w:ascii="Arial" w:hAnsi="Arial" w:cs="Arial"/>
          <w:sz w:val="20"/>
          <w:szCs w:val="20"/>
        </w:rPr>
        <w:t xml:space="preserve"> </w:t>
      </w:r>
      <w:r w:rsidRPr="001E6C03">
        <w:rPr>
          <w:rStyle w:val="Fett"/>
          <w:rFonts w:ascii="Arial" w:hAnsi="Arial" w:cs="Arial"/>
          <w:b w:val="0"/>
          <w:sz w:val="20"/>
          <w:szCs w:val="20"/>
        </w:rPr>
        <w:t>bestimmt</w:t>
      </w:r>
      <w:r w:rsidRPr="001E6C03">
        <w:rPr>
          <w:rFonts w:ascii="Arial" w:hAnsi="Arial" w:cs="Arial"/>
          <w:sz w:val="20"/>
          <w:szCs w:val="20"/>
        </w:rPr>
        <w:t xml:space="preserve">. </w:t>
      </w:r>
    </w:p>
    <w:p w:rsidR="003325AE" w:rsidRPr="001E6C03" w:rsidRDefault="003325AE" w:rsidP="005D2CB5">
      <w:pPr>
        <w:pStyle w:val="berschrift2"/>
        <w:spacing w:after="0"/>
        <w:rPr>
          <w:rFonts w:cs="Arial"/>
        </w:rPr>
      </w:pPr>
      <w:r w:rsidRPr="001E6C03">
        <w:rPr>
          <w:rFonts w:cs="Arial"/>
        </w:rPr>
        <w:t>Methode</w:t>
      </w:r>
    </w:p>
    <w:p w:rsidR="003325AE" w:rsidRPr="00013C46" w:rsidRDefault="003325AE" w:rsidP="00C263DF">
      <w:pPr>
        <w:pStyle w:val="berschrift3"/>
        <w:rPr>
          <w:rFonts w:eastAsia="Arial Unicode MS"/>
        </w:rPr>
      </w:pPr>
      <w:r w:rsidRPr="00013C46">
        <w:rPr>
          <w:rFonts w:eastAsia="Arial Unicode MS"/>
        </w:rPr>
        <w:t xml:space="preserve">Ermittlung der Geschossigkeit der Gebäude </w:t>
      </w:r>
    </w:p>
    <w:p w:rsidR="00BD67DD" w:rsidRPr="005D2863" w:rsidRDefault="00BD67DD" w:rsidP="00F83DEA">
      <w:pPr>
        <w:rPr>
          <w:rFonts w:cs="Arial"/>
          <w:noProof w:val="0"/>
          <w:color w:val="auto"/>
        </w:rPr>
      </w:pPr>
      <w:r w:rsidRPr="005D2863">
        <w:rPr>
          <w:rFonts w:cs="Arial"/>
          <w:noProof w:val="0"/>
          <w:color w:val="auto"/>
        </w:rPr>
        <w:t>Die Ermittlung der Geschossigkeit der Gebäude erfolgte über die Angabe der Geschossigkeit in der Automatisierten Liegenschaftskarte Berlin (ALK).</w:t>
      </w:r>
    </w:p>
    <w:p w:rsidR="00BD67DD" w:rsidRPr="005D2863" w:rsidRDefault="00BD67DD" w:rsidP="00F83DEA">
      <w:pPr>
        <w:rPr>
          <w:rFonts w:cs="Arial"/>
          <w:noProof w:val="0"/>
          <w:color w:val="auto"/>
        </w:rPr>
      </w:pPr>
      <w:r w:rsidRPr="005D2863">
        <w:rPr>
          <w:rFonts w:cs="Arial"/>
          <w:noProof w:val="0"/>
          <w:color w:val="auto"/>
        </w:rPr>
        <w:t>Für Gebäude mit fehlendem Eintrag der Geschossanzahl wurde zur Berechnung der Geschossflächenzahl ein Schätzwert eingesetzt (Ruine = 2, Turm = 8).</w:t>
      </w:r>
    </w:p>
    <w:p w:rsidR="00BD67DD" w:rsidRDefault="00BD67DD" w:rsidP="005D2863">
      <w:pPr>
        <w:pStyle w:val="berschrift3"/>
      </w:pPr>
      <w:r>
        <w:t>Ermittlung der Grundflächenzahl</w:t>
      </w:r>
    </w:p>
    <w:p w:rsidR="00F83DEA" w:rsidRDefault="00BD67DD" w:rsidP="00F83DEA">
      <w:pPr>
        <w:pStyle w:val="StandardWeb"/>
        <w:spacing w:before="0" w:beforeAutospacing="0" w:after="120" w:afterAutospacing="0"/>
        <w:jc w:val="both"/>
        <w:rPr>
          <w:rFonts w:ascii="Arial" w:hAnsi="Arial" w:cs="Arial"/>
          <w:sz w:val="20"/>
          <w:szCs w:val="20"/>
        </w:rPr>
      </w:pPr>
      <w:r w:rsidRPr="005D2863">
        <w:rPr>
          <w:rFonts w:ascii="Arial" w:hAnsi="Arial" w:cs="Arial"/>
          <w:sz w:val="20"/>
          <w:szCs w:val="20"/>
        </w:rPr>
        <w:t xml:space="preserve">Die </w:t>
      </w:r>
      <w:r w:rsidRPr="005D2863">
        <w:rPr>
          <w:rFonts w:ascii="Arial" w:hAnsi="Arial" w:cs="Arial"/>
          <w:b/>
          <w:bCs/>
          <w:sz w:val="20"/>
          <w:szCs w:val="20"/>
        </w:rPr>
        <w:t>Grundflächenzahl (GRZ)</w:t>
      </w:r>
      <w:r w:rsidRPr="005D2863">
        <w:rPr>
          <w:rFonts w:ascii="Arial" w:hAnsi="Arial" w:cs="Arial"/>
          <w:sz w:val="20"/>
          <w:szCs w:val="20"/>
        </w:rPr>
        <w:t xml:space="preserve"> gibt den bebauten Anteil eines Baugrundstücks an. Die GRZ ist eine Dezimalzahl mit ein oder zwei Nachkommastellen.</w:t>
      </w:r>
    </w:p>
    <w:p w:rsidR="00BD67DD" w:rsidRPr="005D2863" w:rsidRDefault="00BD67DD" w:rsidP="00F83DEA">
      <w:pPr>
        <w:pStyle w:val="StandardWeb"/>
        <w:spacing w:before="0" w:beforeAutospacing="0" w:after="120" w:afterAutospacing="0"/>
        <w:jc w:val="both"/>
        <w:rPr>
          <w:rFonts w:ascii="Arial" w:hAnsi="Arial" w:cs="Arial"/>
          <w:sz w:val="20"/>
          <w:szCs w:val="20"/>
        </w:rPr>
      </w:pPr>
      <w:r w:rsidRPr="005D2863">
        <w:rPr>
          <w:rFonts w:ascii="Arial" w:hAnsi="Arial" w:cs="Arial"/>
          <w:sz w:val="20"/>
          <w:szCs w:val="20"/>
        </w:rPr>
        <w:t>Daraus leitet sich für die Erstellung der vorliegenden Karte die Formel der Berechnung der GRZ wie folgt ab: Die Summe alle baulichen Grundflächen auf einem Grundstück - hier die Blockfläche - wird durch dessen Gesamtfläche geteilt.</w:t>
      </w:r>
    </w:p>
    <w:p w:rsidR="00BD67DD" w:rsidRPr="005D2863" w:rsidRDefault="00BD67DD" w:rsidP="00F83DEA">
      <w:pPr>
        <w:pStyle w:val="StandardWeb"/>
        <w:spacing w:before="0" w:beforeAutospacing="0" w:after="120" w:afterAutospacing="0"/>
        <w:jc w:val="both"/>
        <w:rPr>
          <w:rFonts w:ascii="Arial" w:hAnsi="Arial" w:cs="Arial"/>
          <w:sz w:val="20"/>
          <w:szCs w:val="20"/>
        </w:rPr>
      </w:pPr>
      <w:r w:rsidRPr="005D2863">
        <w:rPr>
          <w:rFonts w:ascii="Arial" w:hAnsi="Arial" w:cs="Arial"/>
          <w:sz w:val="20"/>
          <w:szCs w:val="20"/>
        </w:rPr>
        <w:t>Da die Gebäudeflächen nicht mit den Blockflächengrenzen übereinstimmen, wurden nur die Anteile der Gebäudeflächen summiert, die sich tatsächlich innerhalb der Blockflächengrenzen befinden. Dies wurde durch die Verschneidung der Gebäudegrenzen aus der Automatisierten Liegenschaftskarte (ALK) mit den Blockflächen der Blockkarte 1:5000 (ISU5) realisiert. Die außerhalb der Blockflächen liegenden Gebäudeteile, z. b. auf Verkehrsflächen (Straßenland), wurden demnach nicht berücksichtigt.</w:t>
      </w:r>
    </w:p>
    <w:p w:rsidR="00BD67DD" w:rsidRDefault="00BD67DD" w:rsidP="005D2863">
      <w:pPr>
        <w:pStyle w:val="berschrift3"/>
      </w:pPr>
      <w:bookmarkStart w:id="1" w:name="B4"/>
      <w:bookmarkEnd w:id="1"/>
      <w:r>
        <w:t>Ermittlung der Geschossflächenzahl</w:t>
      </w:r>
    </w:p>
    <w:p w:rsidR="00F83DEA" w:rsidRDefault="00BD67DD" w:rsidP="00F83DEA">
      <w:pPr>
        <w:pStyle w:val="StandardWeb"/>
        <w:spacing w:before="0" w:beforeAutospacing="0" w:after="120" w:afterAutospacing="0"/>
        <w:jc w:val="both"/>
        <w:rPr>
          <w:rFonts w:ascii="Arial" w:hAnsi="Arial" w:cs="Arial"/>
          <w:sz w:val="20"/>
          <w:szCs w:val="20"/>
        </w:rPr>
      </w:pPr>
      <w:r w:rsidRPr="005D2863">
        <w:rPr>
          <w:rFonts w:ascii="Arial" w:hAnsi="Arial" w:cs="Arial"/>
          <w:sz w:val="20"/>
          <w:szCs w:val="20"/>
        </w:rPr>
        <w:t xml:space="preserve">Die </w:t>
      </w:r>
      <w:r w:rsidRPr="005D2863">
        <w:rPr>
          <w:rFonts w:ascii="Arial" w:hAnsi="Arial" w:cs="Arial"/>
          <w:b/>
          <w:bCs/>
          <w:sz w:val="20"/>
          <w:szCs w:val="20"/>
        </w:rPr>
        <w:t>Geschossflächenzahl (GFZ)</w:t>
      </w:r>
      <w:r w:rsidRPr="005D2863">
        <w:rPr>
          <w:rFonts w:ascii="Arial" w:hAnsi="Arial" w:cs="Arial"/>
          <w:sz w:val="20"/>
          <w:szCs w:val="20"/>
        </w:rPr>
        <w:t xml:space="preserve"> gibt die Quadratmeter Geschossfläche je Quadratmeter Grundstücksfläche - hier die Blockfläche - an.</w:t>
      </w:r>
    </w:p>
    <w:p w:rsidR="00F83DEA" w:rsidRDefault="00BD67DD" w:rsidP="00F83DEA">
      <w:pPr>
        <w:pStyle w:val="StandardWeb"/>
        <w:spacing w:before="0" w:beforeAutospacing="0" w:after="120" w:afterAutospacing="0"/>
        <w:jc w:val="both"/>
        <w:rPr>
          <w:rFonts w:ascii="Arial" w:hAnsi="Arial" w:cs="Arial"/>
          <w:sz w:val="20"/>
          <w:szCs w:val="20"/>
        </w:rPr>
      </w:pPr>
      <w:r w:rsidRPr="005D2863">
        <w:rPr>
          <w:rFonts w:ascii="Arial" w:hAnsi="Arial" w:cs="Arial"/>
          <w:sz w:val="20"/>
          <w:szCs w:val="20"/>
        </w:rPr>
        <w:t>Für die Ermittlung der GFZ gilt:</w:t>
      </w:r>
    </w:p>
    <w:p w:rsidR="00BD67DD" w:rsidRPr="005D2863" w:rsidRDefault="00BD67DD" w:rsidP="00F83DEA">
      <w:pPr>
        <w:pStyle w:val="StandardWeb"/>
        <w:spacing w:before="0" w:beforeAutospacing="0" w:after="120" w:afterAutospacing="0"/>
        <w:jc w:val="both"/>
        <w:rPr>
          <w:rFonts w:ascii="Arial" w:hAnsi="Arial" w:cs="Arial"/>
          <w:sz w:val="20"/>
          <w:szCs w:val="20"/>
        </w:rPr>
      </w:pPr>
      <w:r w:rsidRPr="005D2863">
        <w:rPr>
          <w:rFonts w:ascii="Arial" w:hAnsi="Arial" w:cs="Arial"/>
          <w:sz w:val="20"/>
          <w:szCs w:val="20"/>
        </w:rPr>
        <w:t xml:space="preserve">Die Summe aller Geschossflächen, der auf einer Blockfläche befindlichen Gebäude(teile), wird durch die Blockgröße dividiert. Die Geschossfläche eines Gebäudes errechnet sich dabei aus der Summe der Fläche aller Vollgeschosse. (In der Regel bedeutet dies: Anzahl der Vollgeschosse multipliziert mit der Grundfläche des Gebäudes). </w:t>
      </w:r>
    </w:p>
    <w:p w:rsidR="00BD67DD" w:rsidRDefault="00BD67DD" w:rsidP="005D2863">
      <w:pPr>
        <w:pStyle w:val="berschrift3"/>
      </w:pPr>
      <w:bookmarkStart w:id="2" w:name="B5"/>
      <w:bookmarkEnd w:id="2"/>
      <w:r>
        <w:t xml:space="preserve">Berücksichtigung von baulichen Anlagen i.S. des § 19 Abs. 4 </w:t>
      </w:r>
      <w:r>
        <w:rPr>
          <w:rStyle w:val="HTMLAkronym"/>
        </w:rPr>
        <w:t>BauNVO</w:t>
      </w:r>
      <w:r>
        <w:t xml:space="preserve"> bei der Ermittlung der GRZ</w:t>
      </w:r>
    </w:p>
    <w:p w:rsidR="00BD67DD" w:rsidRPr="005D2863" w:rsidRDefault="00BD67DD" w:rsidP="00F83DEA">
      <w:pPr>
        <w:pStyle w:val="StandardWeb"/>
        <w:spacing w:before="0" w:beforeAutospacing="0" w:after="120" w:afterAutospacing="0"/>
        <w:jc w:val="both"/>
        <w:rPr>
          <w:rFonts w:ascii="Arial" w:hAnsi="Arial" w:cs="Arial"/>
          <w:sz w:val="20"/>
          <w:szCs w:val="20"/>
        </w:rPr>
      </w:pPr>
      <w:r w:rsidRPr="005D2863">
        <w:rPr>
          <w:rFonts w:ascii="Arial" w:hAnsi="Arial" w:cs="Arial"/>
          <w:sz w:val="20"/>
          <w:szCs w:val="20"/>
        </w:rPr>
        <w:t xml:space="preserve">Nach </w:t>
      </w:r>
      <w:r w:rsidRPr="005D2863">
        <w:rPr>
          <w:rFonts w:ascii="Arial" w:hAnsi="Arial" w:cs="Arial"/>
          <w:b/>
          <w:bCs/>
          <w:sz w:val="20"/>
          <w:szCs w:val="20"/>
        </w:rPr>
        <w:t>§ 19 Abs. 4 BauNVO</w:t>
      </w:r>
      <w:r w:rsidRPr="005D2863">
        <w:rPr>
          <w:rFonts w:ascii="Arial" w:hAnsi="Arial" w:cs="Arial"/>
          <w:sz w:val="20"/>
          <w:szCs w:val="20"/>
        </w:rPr>
        <w:t xml:space="preserve"> sind bei der Ermittlung der Grundflächen Garagen und Stellplätze mit ihren Zufahrten, Nebenanlagen und bauliche Anlagen unterhalb der Geländeoberfläche mitzurechnen.</w:t>
      </w:r>
    </w:p>
    <w:p w:rsidR="00BD67DD" w:rsidRPr="005D2863" w:rsidRDefault="00BD67DD" w:rsidP="00F83DEA">
      <w:pPr>
        <w:pStyle w:val="StandardWeb"/>
        <w:spacing w:before="0" w:beforeAutospacing="0" w:after="120" w:afterAutospacing="0"/>
        <w:jc w:val="both"/>
        <w:rPr>
          <w:rFonts w:ascii="Arial" w:hAnsi="Arial" w:cs="Arial"/>
          <w:sz w:val="20"/>
          <w:szCs w:val="20"/>
        </w:rPr>
      </w:pPr>
      <w:r w:rsidRPr="005D2863">
        <w:rPr>
          <w:rFonts w:ascii="Arial" w:hAnsi="Arial" w:cs="Arial"/>
          <w:sz w:val="20"/>
          <w:szCs w:val="20"/>
        </w:rPr>
        <w:t>Im ersten Schritt wurden die sog. Hauptanlagen i.S. des § 19 Abs. 2 BauNVO ermittelt. Im zweiten Schritt wurden zu diesen die Grundflächen von in der ALK geführten Garagen, überdachte Stellplätzen, Tiefgaragen und Nebenanlagen hinzugerechnet. Als Nebenanlagen wurden die in Tabelle 1 aufgeführten Gebäudetypen eingestuft, falls sie über weniger als 2 Geschosse verfügen. Auf die Ermittlung der GFZ haben diese Anlagen keinen Einfluss.</w:t>
      </w:r>
    </w:p>
    <w:p w:rsidR="00BD67DD" w:rsidRPr="005D2863" w:rsidRDefault="00BD67DD" w:rsidP="00F83DEA">
      <w:pPr>
        <w:pStyle w:val="StandardWeb"/>
        <w:spacing w:before="0" w:beforeAutospacing="0" w:after="120" w:afterAutospacing="0"/>
        <w:jc w:val="both"/>
        <w:rPr>
          <w:rFonts w:ascii="Arial" w:hAnsi="Arial" w:cs="Arial"/>
          <w:sz w:val="20"/>
          <w:szCs w:val="20"/>
        </w:rPr>
      </w:pPr>
      <w:r w:rsidRPr="005D2863">
        <w:rPr>
          <w:rFonts w:ascii="Arial" w:hAnsi="Arial" w:cs="Arial"/>
          <w:sz w:val="20"/>
          <w:szCs w:val="20"/>
        </w:rPr>
        <w:t>In Fällen, in denen sich oberirdische und unterirdische Anlagen überschneiden, wurden die oberirdischen aus den unterirdischen Anlagen ausgeschnitten (z.B. bei einer Tiefgarage unter einem Gebäude).</w:t>
      </w:r>
    </w:p>
    <w:p w:rsidR="00BD67DD" w:rsidRPr="005D2863" w:rsidRDefault="00BD67DD" w:rsidP="00F83DEA">
      <w:pPr>
        <w:pStyle w:val="StandardWeb"/>
        <w:spacing w:before="0" w:beforeAutospacing="0" w:after="120" w:afterAutospacing="0"/>
        <w:jc w:val="both"/>
        <w:rPr>
          <w:rFonts w:ascii="Arial" w:hAnsi="Arial" w:cs="Arial"/>
          <w:sz w:val="20"/>
          <w:szCs w:val="20"/>
        </w:rPr>
      </w:pPr>
      <w:r w:rsidRPr="005D2863">
        <w:rPr>
          <w:rFonts w:ascii="Arial" w:hAnsi="Arial" w:cs="Arial"/>
          <w:sz w:val="20"/>
          <w:szCs w:val="20"/>
        </w:rPr>
        <w:t xml:space="preserve">Für die in der </w:t>
      </w:r>
      <w:r w:rsidRPr="005D2863">
        <w:rPr>
          <w:rFonts w:ascii="Arial" w:hAnsi="Arial" w:cs="Arial"/>
          <w:b/>
          <w:bCs/>
          <w:sz w:val="20"/>
          <w:szCs w:val="20"/>
        </w:rPr>
        <w:t>Karte</w:t>
      </w:r>
      <w:r w:rsidRPr="005D2863">
        <w:rPr>
          <w:rFonts w:ascii="Arial" w:hAnsi="Arial" w:cs="Arial"/>
          <w:sz w:val="20"/>
          <w:szCs w:val="20"/>
        </w:rPr>
        <w:t xml:space="preserve"> dargestellten Werte der Grundflächenzahl (GRZ) wurden nur die Hauptanlagen nach § 19 Abs. 2BauNVO, also ohne Nebenanlagen, Stellplätze etc, ermittelt. Die Werte </w:t>
      </w:r>
      <w:r w:rsidRPr="005D2863">
        <w:rPr>
          <w:rFonts w:ascii="Arial" w:hAnsi="Arial" w:cs="Arial"/>
          <w:b/>
          <w:bCs/>
          <w:sz w:val="20"/>
          <w:szCs w:val="20"/>
        </w:rPr>
        <w:t>mit Nebenanlagen</w:t>
      </w:r>
      <w:r w:rsidRPr="005D2863">
        <w:rPr>
          <w:rFonts w:ascii="Arial" w:hAnsi="Arial" w:cs="Arial"/>
          <w:sz w:val="20"/>
          <w:szCs w:val="20"/>
        </w:rPr>
        <w:t xml:space="preserve">, Stellplätzen etc. (§ 19 Abs. 4 BauNVO) sind nicht in der Karte dargestellt, wurden aber ebenfalls ermittelt und können in der </w:t>
      </w:r>
      <w:r w:rsidRPr="005D2863">
        <w:rPr>
          <w:rFonts w:ascii="Arial" w:hAnsi="Arial" w:cs="Arial"/>
          <w:b/>
          <w:bCs/>
          <w:sz w:val="20"/>
          <w:szCs w:val="20"/>
        </w:rPr>
        <w:t>Sachdatenanzeige</w:t>
      </w:r>
      <w:r w:rsidRPr="005D2863">
        <w:rPr>
          <w:rFonts w:ascii="Arial" w:hAnsi="Arial" w:cs="Arial"/>
          <w:sz w:val="20"/>
          <w:szCs w:val="20"/>
        </w:rPr>
        <w:t xml:space="preserve"> eingesehen werden.</w:t>
      </w:r>
    </w:p>
    <w:tbl>
      <w:tblPr>
        <w:tblW w:w="92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1170"/>
        <w:gridCol w:w="1500"/>
        <w:gridCol w:w="6600"/>
      </w:tblGrid>
      <w:tr w:rsidR="00BD67DD" w:rsidRPr="00BD67DD" w:rsidTr="00995454">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D67DD" w:rsidRPr="00BD67DD" w:rsidRDefault="00BD67DD" w:rsidP="00BD67DD">
            <w:pPr>
              <w:spacing w:before="60" w:after="60"/>
              <w:rPr>
                <w:rFonts w:cs="Arial"/>
                <w:b/>
              </w:rPr>
            </w:pPr>
            <w:r w:rsidRPr="00BD67DD">
              <w:rPr>
                <w:rFonts w:cs="Arial"/>
                <w:b/>
              </w:rPr>
              <w:t>Schlüssel</w:t>
            </w:r>
          </w:p>
        </w:tc>
        <w:tc>
          <w:tcPr>
            <w:tcW w:w="1500" w:type="dxa"/>
            <w:tcBorders>
              <w:top w:val="single" w:sz="4" w:space="0" w:color="auto"/>
              <w:left w:val="single" w:sz="4" w:space="0" w:color="auto"/>
              <w:bottom w:val="single" w:sz="4" w:space="0" w:color="auto"/>
            </w:tcBorders>
            <w:shd w:val="clear" w:color="auto" w:fill="C0C0C0"/>
            <w:noWrap/>
            <w:vAlign w:val="center"/>
          </w:tcPr>
          <w:p w:rsidR="00BD67DD" w:rsidRPr="00BD67DD" w:rsidRDefault="00BD67DD" w:rsidP="00BD67DD">
            <w:pPr>
              <w:spacing w:before="60" w:after="60"/>
              <w:jc w:val="center"/>
              <w:rPr>
                <w:rFonts w:cs="Arial"/>
                <w:b/>
              </w:rPr>
            </w:pPr>
            <w:r w:rsidRPr="00BD67DD">
              <w:rPr>
                <w:rFonts w:cs="Arial"/>
                <w:b/>
              </w:rPr>
              <w:t>Anzahl</w:t>
            </w:r>
          </w:p>
        </w:tc>
        <w:tc>
          <w:tcPr>
            <w:tcW w:w="6600" w:type="dxa"/>
            <w:tcBorders>
              <w:top w:val="single" w:sz="4" w:space="0" w:color="auto"/>
              <w:left w:val="single" w:sz="4" w:space="0" w:color="auto"/>
              <w:bottom w:val="single" w:sz="4" w:space="0" w:color="auto"/>
            </w:tcBorders>
            <w:shd w:val="clear" w:color="auto" w:fill="C0C0C0"/>
            <w:vAlign w:val="center"/>
          </w:tcPr>
          <w:p w:rsidR="00BD67DD" w:rsidRPr="00BD67DD" w:rsidRDefault="00BD67DD" w:rsidP="00BD67DD">
            <w:pPr>
              <w:spacing w:before="60" w:after="60"/>
              <w:jc w:val="left"/>
              <w:rPr>
                <w:rFonts w:cs="Arial"/>
                <w:b/>
              </w:rPr>
            </w:pPr>
            <w:r w:rsidRPr="00BD67DD">
              <w:rPr>
                <w:rFonts w:cs="Arial"/>
                <w:b/>
              </w:rPr>
              <w:t>Gebäudetyp</w:t>
            </w:r>
          </w:p>
        </w:tc>
      </w:tr>
      <w:tr w:rsidR="00BD67DD" w:rsidRPr="0008170A" w:rsidTr="00995454">
        <w:trPr>
          <w:trHeight w:val="300"/>
        </w:trPr>
        <w:tc>
          <w:tcPr>
            <w:tcW w:w="1170" w:type="dxa"/>
            <w:tcBorders>
              <w:top w:val="single" w:sz="4" w:space="0" w:color="auto"/>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lastRenderedPageBreak/>
              <w:t>0111005</w:t>
            </w:r>
          </w:p>
        </w:tc>
        <w:tc>
          <w:tcPr>
            <w:tcW w:w="1500" w:type="dxa"/>
            <w:tcBorders>
              <w:top w:val="single" w:sz="4" w:space="0" w:color="auto"/>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159</w:t>
            </w:r>
          </w:p>
        </w:tc>
        <w:tc>
          <w:tcPr>
            <w:tcW w:w="6600" w:type="dxa"/>
            <w:tcBorders>
              <w:top w:val="single" w:sz="4" w:space="0" w:color="auto"/>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Unterirdisches Gebäude (allgemein)</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0111381</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13</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Behelfsmäßiges Wohngebäude</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0112312</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239</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Wartehalle</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0112363</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3563</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Tiefgarage</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0112365</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5853</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Doppelgarage</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0112366</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64957</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Einzelgarage</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0112367</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4234</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Überdachter Stellplatz</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0112513</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34</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Pumpstelle</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0112515</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11</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Wasserbehälter</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0112523</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2727</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Umformerstation</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0112551</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214</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Öltank</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0112612</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385</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Bedürfnisanstalt</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0112723</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21076</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Schuppen</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0112725</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17</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Futtersilo</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0112851</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71</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Campingplatzgebäude</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0112863</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5958</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Gartenhaus</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0112869</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2064</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Freizeithaus</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0112894</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24</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Schutzhütte</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0862363</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53</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Tiefgarage</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0871005</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5</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Geplantes oder im Bau befindliches unterirdisches Gebäude</w:t>
            </w:r>
          </w:p>
        </w:tc>
      </w:tr>
      <w:tr w:rsidR="00BD67DD" w:rsidRPr="0008170A" w:rsidTr="00995454">
        <w:trPr>
          <w:trHeight w:val="300"/>
        </w:trPr>
        <w:tc>
          <w:tcPr>
            <w:tcW w:w="117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BD67DD" w:rsidRDefault="00BD67DD" w:rsidP="00BD67DD">
            <w:pPr>
              <w:spacing w:before="60" w:after="60"/>
              <w:rPr>
                <w:rFonts w:cs="Arial"/>
              </w:rPr>
            </w:pPr>
            <w:r>
              <w:rPr>
                <w:rFonts w:cs="Arial"/>
              </w:rPr>
              <w:t> </w:t>
            </w:r>
          </w:p>
        </w:tc>
        <w:tc>
          <w:tcPr>
            <w:tcW w:w="1500" w:type="dxa"/>
            <w:tcBorders>
              <w:top w:val="single" w:sz="4" w:space="0" w:color="FFFFFF"/>
              <w:left w:val="single" w:sz="4" w:space="0" w:color="auto"/>
              <w:bottom w:val="single" w:sz="4" w:space="0" w:color="FFFFFF"/>
            </w:tcBorders>
            <w:shd w:val="clear" w:color="auto" w:fill="F3F3F3"/>
            <w:noWrap/>
            <w:vAlign w:val="center"/>
          </w:tcPr>
          <w:p w:rsidR="00BD67DD" w:rsidRDefault="00BD67DD" w:rsidP="00BD67DD">
            <w:pPr>
              <w:spacing w:before="60" w:after="60"/>
              <w:jc w:val="center"/>
              <w:rPr>
                <w:rFonts w:cs="Arial"/>
              </w:rPr>
            </w:pPr>
            <w:r>
              <w:rPr>
                <w:rFonts w:cs="Arial"/>
              </w:rPr>
              <w:t>4109</w:t>
            </w:r>
          </w:p>
        </w:tc>
        <w:tc>
          <w:tcPr>
            <w:tcW w:w="6600" w:type="dxa"/>
            <w:tcBorders>
              <w:top w:val="single" w:sz="4" w:space="0" w:color="FFFFFF"/>
              <w:left w:val="single" w:sz="4" w:space="0" w:color="auto"/>
              <w:bottom w:val="single" w:sz="4" w:space="0" w:color="FFFFFF"/>
            </w:tcBorders>
            <w:shd w:val="clear" w:color="auto" w:fill="F3F3F3"/>
            <w:vAlign w:val="center"/>
          </w:tcPr>
          <w:p w:rsidR="00BD67DD" w:rsidRDefault="00BD67DD" w:rsidP="00BD67DD">
            <w:pPr>
              <w:spacing w:before="60" w:after="60"/>
              <w:jc w:val="left"/>
              <w:rPr>
                <w:rFonts w:cs="Arial"/>
              </w:rPr>
            </w:pPr>
            <w:r>
              <w:rPr>
                <w:rFonts w:cs="Arial"/>
              </w:rPr>
              <w:t>Weitere unterirdischen Gebäude (alle Gebäude ohne Geschosszahl)</w:t>
            </w:r>
          </w:p>
        </w:tc>
      </w:tr>
      <w:tr w:rsidR="00BD67DD" w:rsidRPr="0008170A" w:rsidTr="00995454">
        <w:trPr>
          <w:trHeight w:val="300"/>
        </w:trPr>
        <w:tc>
          <w:tcPr>
            <w:tcW w:w="1170" w:type="dxa"/>
            <w:tcBorders>
              <w:top w:val="single" w:sz="4" w:space="0" w:color="FFFFFF"/>
              <w:left w:val="single" w:sz="4" w:space="0" w:color="auto"/>
              <w:bottom w:val="single" w:sz="4" w:space="0" w:color="auto"/>
              <w:right w:val="single" w:sz="4" w:space="0" w:color="auto"/>
            </w:tcBorders>
            <w:shd w:val="clear" w:color="auto" w:fill="F3F3F3"/>
            <w:noWrap/>
            <w:vAlign w:val="center"/>
          </w:tcPr>
          <w:p w:rsidR="00BD67DD" w:rsidRDefault="00BD67DD" w:rsidP="00BD67DD">
            <w:pPr>
              <w:spacing w:before="60" w:after="60"/>
              <w:rPr>
                <w:rFonts w:cs="Arial"/>
              </w:rPr>
            </w:pPr>
            <w:r>
              <w:rPr>
                <w:rFonts w:cs="Arial"/>
              </w:rPr>
              <w:t> </w:t>
            </w:r>
          </w:p>
        </w:tc>
        <w:tc>
          <w:tcPr>
            <w:tcW w:w="1500" w:type="dxa"/>
            <w:tcBorders>
              <w:top w:val="single" w:sz="4" w:space="0" w:color="FFFFFF"/>
              <w:left w:val="single" w:sz="4" w:space="0" w:color="auto"/>
              <w:bottom w:val="single" w:sz="4" w:space="0" w:color="auto"/>
            </w:tcBorders>
            <w:shd w:val="clear" w:color="auto" w:fill="F3F3F3"/>
            <w:noWrap/>
            <w:vAlign w:val="center"/>
          </w:tcPr>
          <w:p w:rsidR="00BD67DD" w:rsidRDefault="00BD67DD" w:rsidP="00BD67DD">
            <w:pPr>
              <w:spacing w:before="60" w:after="60"/>
              <w:jc w:val="center"/>
              <w:rPr>
                <w:rFonts w:cs="Arial"/>
              </w:rPr>
            </w:pPr>
            <w:r>
              <w:rPr>
                <w:rFonts w:cs="Arial"/>
              </w:rPr>
              <w:t>8</w:t>
            </w:r>
          </w:p>
        </w:tc>
        <w:tc>
          <w:tcPr>
            <w:tcW w:w="6600" w:type="dxa"/>
            <w:tcBorders>
              <w:top w:val="single" w:sz="4" w:space="0" w:color="FFFFFF"/>
              <w:left w:val="single" w:sz="4" w:space="0" w:color="auto"/>
              <w:bottom w:val="single" w:sz="4" w:space="0" w:color="auto"/>
            </w:tcBorders>
            <w:shd w:val="clear" w:color="auto" w:fill="F3F3F3"/>
            <w:vAlign w:val="center"/>
          </w:tcPr>
          <w:p w:rsidR="00BD67DD" w:rsidRDefault="00BD67DD" w:rsidP="00BD67DD">
            <w:pPr>
              <w:spacing w:before="60" w:after="60"/>
              <w:jc w:val="left"/>
              <w:rPr>
                <w:rFonts w:cs="Arial"/>
              </w:rPr>
            </w:pPr>
            <w:r>
              <w:rPr>
                <w:rFonts w:cs="Arial"/>
              </w:rPr>
              <w:t>Keller (Objekte mit Geschosszahl K)</w:t>
            </w:r>
          </w:p>
        </w:tc>
      </w:tr>
    </w:tbl>
    <w:p w:rsidR="003325AE" w:rsidRPr="00B6470F" w:rsidRDefault="00EA1887" w:rsidP="00C263DF">
      <w:pPr>
        <w:pStyle w:val="Tabelle"/>
        <w:rPr>
          <w:rFonts w:eastAsia="Arial Unicode MS"/>
        </w:rPr>
      </w:pPr>
      <w:r>
        <w:rPr>
          <w:rFonts w:eastAsia="Arial Unicode MS"/>
        </w:rPr>
        <w:t>Tab</w:t>
      </w:r>
      <w:r w:rsidR="003325AE" w:rsidRPr="00B6470F">
        <w:rPr>
          <w:rFonts w:eastAsia="Arial Unicode MS"/>
        </w:rPr>
        <w:t xml:space="preserve"> 1</w:t>
      </w:r>
      <w:r w:rsidR="0043261F">
        <w:rPr>
          <w:rFonts w:eastAsia="Arial Unicode MS"/>
        </w:rPr>
        <w:t>:</w:t>
      </w:r>
      <w:r w:rsidR="003325AE" w:rsidRPr="00B6470F">
        <w:rPr>
          <w:rFonts w:eastAsia="Arial Unicode MS"/>
        </w:rPr>
        <w:t xml:space="preserve"> </w:t>
      </w:r>
      <w:r w:rsidR="00BD67DD">
        <w:t>Als Nebenanlagen eingestufte Gebäudetypen</w:t>
      </w:r>
    </w:p>
    <w:p w:rsidR="00FB565B" w:rsidRDefault="00AD53B9" w:rsidP="00F83DEA">
      <w:pPr>
        <w:rPr>
          <w:rFonts w:eastAsia="Arial Unicode MS" w:cs="Arial"/>
        </w:rPr>
      </w:pPr>
      <w:r>
        <w:t>Je nach Orientierung an Abs. 2 oder Abs. 4 des § 19 BauNVO ergeben sich leicht abweichende Werte der städtebaulichen Dichte pro Block. Abbildung 1 verdeutlicht die Verteilung auf die gewählten Dichteklassen der GRZ für beide Berechnungsmethoden.</w:t>
      </w:r>
      <w:r w:rsidR="003325AE" w:rsidRPr="001E6C03">
        <w:rPr>
          <w:rFonts w:eastAsia="Arial Unicode MS" w:cs="Arial"/>
        </w:rPr>
        <w:t xml:space="preserve"> </w:t>
      </w:r>
    </w:p>
    <w:p w:rsidR="003325AE" w:rsidRDefault="00712D97" w:rsidP="00A6548B">
      <w:pPr>
        <w:spacing w:after="0"/>
        <w:jc w:val="left"/>
        <w:rPr>
          <w:rFonts w:eastAsia="Arial Unicode MS" w:cs="Arial"/>
          <w:i/>
          <w:sz w:val="16"/>
          <w:szCs w:val="16"/>
        </w:rPr>
      </w:pPr>
      <w:r w:rsidRPr="005D2863">
        <w:rPr>
          <w:rFonts w:cs="Arial"/>
        </w:rPr>
        <w:lastRenderedPageBreak/>
        <w:drawing>
          <wp:inline distT="0" distB="0" distL="0" distR="0">
            <wp:extent cx="5810250" cy="3810000"/>
            <wp:effectExtent l="0" t="0" r="0" b="0"/>
            <wp:docPr id="5" name="Bild 1" descr="Grundflächenzahl im Vergleich - bei Orientierung an § 19 Abs. 2 BauNVO bzw. § 19 Abs. 4 BauNV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ndflächenzahl im Vergleich - bei Orientierung an § 19 Abs. 2 BauNVO bzw. § 19 Abs. 4 BauNV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3810000"/>
                    </a:xfrm>
                    <a:prstGeom prst="rect">
                      <a:avLst/>
                    </a:prstGeom>
                    <a:noFill/>
                    <a:ln>
                      <a:noFill/>
                    </a:ln>
                  </pic:spPr>
                </pic:pic>
              </a:graphicData>
            </a:graphic>
          </wp:inline>
        </w:drawing>
      </w:r>
    </w:p>
    <w:p w:rsidR="003325AE" w:rsidRPr="00A6548B" w:rsidRDefault="005D2863" w:rsidP="00C263DF">
      <w:pPr>
        <w:pStyle w:val="Abbildung"/>
      </w:pPr>
      <w:r>
        <w:t>Abb. 1: Grundflächenzahl im Vergleich - bei Orientierung an § 19 Abs. 2 BauNVO bzw. § 19 Abs. 4 BauNVO</w:t>
      </w:r>
      <w:r w:rsidR="003325AE" w:rsidRPr="00A6548B">
        <w:t xml:space="preserve"> </w:t>
      </w:r>
    </w:p>
    <w:p w:rsidR="005D2863" w:rsidRPr="005D2863" w:rsidRDefault="005D2863" w:rsidP="005D2863">
      <w:pPr>
        <w:jc w:val="left"/>
        <w:rPr>
          <w:rFonts w:cs="Arial"/>
          <w:noProof w:val="0"/>
          <w:color w:val="auto"/>
        </w:rPr>
      </w:pPr>
      <w:r w:rsidRPr="005D2863">
        <w:rPr>
          <w:rFonts w:cs="Arial"/>
          <w:noProof w:val="0"/>
          <w:color w:val="auto"/>
        </w:rPr>
        <w:t>Wenn im folgenden von GRZ die Rede ist, ist immer die GRZ basierend auf § 19 Abs. 2 BauNVO gemeint.</w:t>
      </w:r>
    </w:p>
    <w:p w:rsidR="003325AE" w:rsidRPr="005D2863" w:rsidRDefault="005D2863" w:rsidP="005D2863">
      <w:pPr>
        <w:jc w:val="left"/>
        <w:rPr>
          <w:rFonts w:cs="Arial"/>
          <w:noProof w:val="0"/>
          <w:color w:val="auto"/>
        </w:rPr>
      </w:pPr>
      <w:r w:rsidRPr="005D2863">
        <w:rPr>
          <w:rFonts w:cs="Arial"/>
          <w:noProof w:val="0"/>
          <w:color w:val="auto"/>
        </w:rPr>
        <w:t>Insgesamt zeigt sich jedoch, dass die unterschiedliche Berücksichtigung der Nebenanlagen nur einen geringen Einfluss auf die Ergebnisse der Darstellung der GRZ hat.</w:t>
      </w:r>
    </w:p>
    <w:p w:rsidR="003325AE" w:rsidRPr="0068498A" w:rsidRDefault="003325AE" w:rsidP="00DA4870">
      <w:pPr>
        <w:pStyle w:val="berschrift2"/>
        <w:rPr>
          <w:rFonts w:eastAsia="Arial Unicode MS" w:cs="Arial"/>
        </w:rPr>
      </w:pPr>
      <w:r w:rsidRPr="0068498A">
        <w:rPr>
          <w:rFonts w:cs="Arial"/>
        </w:rPr>
        <w:t>Kartenbeschreibung</w:t>
      </w:r>
    </w:p>
    <w:p w:rsidR="00866EA6" w:rsidRPr="00866EA6" w:rsidRDefault="00866EA6" w:rsidP="00F83DEA">
      <w:pPr>
        <w:rPr>
          <w:rFonts w:cs="Arial"/>
          <w:noProof w:val="0"/>
          <w:color w:val="auto"/>
        </w:rPr>
      </w:pPr>
      <w:r w:rsidRPr="00866EA6">
        <w:rPr>
          <w:rFonts w:cs="Arial"/>
          <w:noProof w:val="0"/>
          <w:color w:val="auto"/>
        </w:rPr>
        <w:t xml:space="preserve">Die </w:t>
      </w:r>
      <w:r w:rsidRPr="00866EA6">
        <w:rPr>
          <w:rFonts w:cs="Arial"/>
          <w:b/>
          <w:bCs/>
          <w:noProof w:val="0"/>
          <w:color w:val="auto"/>
        </w:rPr>
        <w:t>Klasseneinteilung</w:t>
      </w:r>
      <w:r w:rsidRPr="00866EA6">
        <w:rPr>
          <w:rFonts w:cs="Arial"/>
          <w:noProof w:val="0"/>
          <w:color w:val="auto"/>
        </w:rPr>
        <w:t xml:space="preserve"> der ermittelten Werte für die Darstellung in der Karte der GFZ und GRZ orientiert sich an der des Flächennutzungsplans (FNP) und des Baunutzungsplans (BNP). Flächen, die vernachlässigbar gering bebaut sind, wurden den unbebauten Flächen zugeordnet und gemeinsam mit diesen dargestellt. Dabei handelt es sich um Flächen mit einer kleineren Grundflächenzahl (GRZ) als 0,1 oder einer kleineren Geschossflächenzahl (GFZ) als 0,05. Meist handelt es dabei um Waldflächen oder ähnliche Freiflächen, in denen sich ein oder einige wenige Gebäude, meist Wirtschaftsgebäude befinden. Bei Flughäfen und Gleisanlagen als Teil der Verkehrsflächen wurde auf eine Berechnung der städtebaulichen Dichte verzichtet, sie sind gesondert ausgewiesen.</w:t>
      </w:r>
    </w:p>
    <w:p w:rsidR="00866EA6" w:rsidRPr="00866EA6" w:rsidRDefault="00866EA6" w:rsidP="00F83DEA">
      <w:pPr>
        <w:rPr>
          <w:rFonts w:cs="Arial"/>
          <w:noProof w:val="0"/>
          <w:color w:val="auto"/>
        </w:rPr>
      </w:pPr>
      <w:r w:rsidRPr="00866EA6">
        <w:rPr>
          <w:rFonts w:cs="Arial"/>
          <w:noProof w:val="0"/>
          <w:color w:val="auto"/>
        </w:rPr>
        <w:t xml:space="preserve">Generell lässt sich aus den Karten erwartungsgemäß eine konzentrische Staffelung des Maßes der baulichen Nutzung im Stadtgebiet ablesen. Dabei lassen sich die dichter bebauten Gebiete deutlich an der dunkelrot bis blauen Einfärbung erkennen. Der heutige </w:t>
      </w:r>
      <w:r w:rsidRPr="00866EA6">
        <w:rPr>
          <w:rFonts w:cs="Arial"/>
          <w:b/>
          <w:bCs/>
          <w:noProof w:val="0"/>
          <w:color w:val="auto"/>
        </w:rPr>
        <w:t>Innenstadtbereich</w:t>
      </w:r>
      <w:r w:rsidRPr="00866EA6">
        <w:rPr>
          <w:rFonts w:cs="Arial"/>
          <w:noProof w:val="0"/>
          <w:color w:val="auto"/>
        </w:rPr>
        <w:t xml:space="preserve"> innerhalb des S-Bahnrings, als "Wilhelminischer Mietskasernengürtel" um das alte Zentrum entstanden, weist auch heute noch mit einer GFZ zwischen 2 und 4 die höchste bauliche Dichte auf, dazu das neue Zentrum am Potsdamer Platz und die Zentren der Stadtteile Spandau, Reinickendorf, Köpenick, Hellersdorf oder Zehlendorf.</w:t>
      </w:r>
    </w:p>
    <w:p w:rsidR="00866EA6" w:rsidRPr="00866EA6" w:rsidRDefault="00866EA6" w:rsidP="00F83DEA">
      <w:pPr>
        <w:rPr>
          <w:rFonts w:cs="Arial"/>
          <w:noProof w:val="0"/>
          <w:color w:val="auto"/>
        </w:rPr>
      </w:pPr>
      <w:r w:rsidRPr="00866EA6">
        <w:rPr>
          <w:rFonts w:cs="Arial"/>
          <w:noProof w:val="0"/>
          <w:color w:val="auto"/>
        </w:rPr>
        <w:t xml:space="preserve">Der </w:t>
      </w:r>
      <w:r w:rsidRPr="00866EA6">
        <w:rPr>
          <w:rFonts w:cs="Arial"/>
          <w:b/>
          <w:bCs/>
          <w:noProof w:val="0"/>
          <w:color w:val="auto"/>
        </w:rPr>
        <w:t>Innenstadtrand</w:t>
      </w:r>
      <w:r w:rsidRPr="00866EA6">
        <w:rPr>
          <w:rFonts w:cs="Arial"/>
          <w:noProof w:val="0"/>
          <w:color w:val="auto"/>
        </w:rPr>
        <w:t>, unter anderem mit vielen Siedlungen der Weimarer Zeit, ist überwiegend mit einer GFZ von 1,0 - 1,2 genutzt.</w:t>
      </w:r>
      <w:r w:rsidRPr="00866EA6">
        <w:rPr>
          <w:rFonts w:cs="Arial"/>
          <w:noProof w:val="0"/>
          <w:color w:val="auto"/>
        </w:rPr>
        <w:br/>
        <w:t xml:space="preserve">In den </w:t>
      </w:r>
      <w:r w:rsidRPr="00866EA6">
        <w:rPr>
          <w:rFonts w:cs="Arial"/>
          <w:b/>
          <w:bCs/>
          <w:noProof w:val="0"/>
          <w:color w:val="auto"/>
        </w:rPr>
        <w:t>Stadtrandlagen</w:t>
      </w:r>
      <w:r w:rsidRPr="00866EA6">
        <w:rPr>
          <w:rFonts w:cs="Arial"/>
          <w:noProof w:val="0"/>
          <w:color w:val="auto"/>
        </w:rPr>
        <w:t xml:space="preserve"> herrscht die Einzelhausbebauung mit niedrigen Geschossflächenzahlen unter 0,5 vor. Deutlich heben sich hier die Großsiedlungen der 60er und 70er Jahre und ältere Baugebiete am Rand der radialen Hauptverkehrswege mit ihrer höheren Ausnutzung des Grund und Bodens ab. In Einzelfällen lässt sich auch in Stadtrandlagen eine hohe Bebauungsdichte einzelner Blöcke beobachten. Dabei handelt sich es meist um große zusammenhängende Anlagen des Gemeinbedarfs, wie z.B. der Krankenhauskomplex in Berlin-Buch.</w:t>
      </w:r>
    </w:p>
    <w:p w:rsidR="00866EA6" w:rsidRPr="00866EA6" w:rsidRDefault="00866EA6" w:rsidP="00F83DEA">
      <w:pPr>
        <w:rPr>
          <w:rFonts w:cs="Arial"/>
          <w:noProof w:val="0"/>
          <w:color w:val="auto"/>
        </w:rPr>
      </w:pPr>
      <w:r w:rsidRPr="00866EA6">
        <w:rPr>
          <w:rFonts w:cs="Arial"/>
          <w:noProof w:val="0"/>
          <w:color w:val="auto"/>
        </w:rPr>
        <w:lastRenderedPageBreak/>
        <w:t xml:space="preserve">An den deutlich höheren Dichtezahlen der zahlreichen </w:t>
      </w:r>
      <w:r w:rsidRPr="00866EA6">
        <w:rPr>
          <w:rFonts w:cs="Arial"/>
          <w:b/>
          <w:bCs/>
          <w:noProof w:val="0"/>
          <w:color w:val="auto"/>
        </w:rPr>
        <w:t>Ortsteilzentren</w:t>
      </w:r>
      <w:r w:rsidRPr="00866EA6">
        <w:rPr>
          <w:rFonts w:cs="Arial"/>
          <w:noProof w:val="0"/>
          <w:color w:val="auto"/>
        </w:rPr>
        <w:t xml:space="preserve"> lässt sich auch die polyzentrische Struktur Berlins mit ihren Kerngebietsnutzungen erkennen.</w:t>
      </w:r>
    </w:p>
    <w:p w:rsidR="00866EA6" w:rsidRPr="00866EA6" w:rsidRDefault="00866EA6" w:rsidP="00F83DEA">
      <w:pPr>
        <w:rPr>
          <w:rFonts w:cs="Arial"/>
          <w:noProof w:val="0"/>
          <w:color w:val="auto"/>
        </w:rPr>
      </w:pPr>
      <w:r w:rsidRPr="00866EA6">
        <w:rPr>
          <w:rFonts w:cs="Arial"/>
          <w:noProof w:val="0"/>
          <w:color w:val="auto"/>
        </w:rPr>
        <w:t>Die Karten ermöglichen die Lokalisierung von Baulandreserven in bebauten Blöcken, in denen das realisierte Maß der baulichen Nutzung das baurechtlich zulässige Maß unterschreitet. Diesen Reserven kommt bei städtebaulichen Diskussionen um die Verdichtung der Innenstadt eine besondere Bedeutung zu.</w:t>
      </w:r>
    </w:p>
    <w:p w:rsidR="00FB223A" w:rsidRDefault="00712D97" w:rsidP="00C263DF">
      <w:pPr>
        <w:spacing w:after="0"/>
        <w:jc w:val="left"/>
        <w:rPr>
          <w:rFonts w:eastAsia="Arial Unicode MS" w:cs="Arial"/>
          <w:i/>
          <w:sz w:val="16"/>
          <w:szCs w:val="16"/>
        </w:rPr>
      </w:pPr>
      <w:r w:rsidRPr="00866EA6">
        <w:rPr>
          <w:rFonts w:cs="Arial"/>
        </w:rPr>
        <w:drawing>
          <wp:inline distT="0" distB="0" distL="0" distR="0">
            <wp:extent cx="5848350" cy="4371975"/>
            <wp:effectExtent l="0" t="0" r="0" b="0"/>
            <wp:docPr id="2" name="Bild 2" descr="Einwohnerdichte, GFZ und GRZ ausgewählter Nutzungen im Verglei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wohnerdichte, GFZ und GRZ ausgewählter Nutzungen im Vergleich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4371975"/>
                    </a:xfrm>
                    <a:prstGeom prst="rect">
                      <a:avLst/>
                    </a:prstGeom>
                    <a:noFill/>
                    <a:ln>
                      <a:noFill/>
                    </a:ln>
                  </pic:spPr>
                </pic:pic>
              </a:graphicData>
            </a:graphic>
          </wp:inline>
        </w:drawing>
      </w:r>
    </w:p>
    <w:p w:rsidR="003325AE" w:rsidRPr="00A6548B" w:rsidRDefault="003325AE" w:rsidP="00C263DF">
      <w:pPr>
        <w:pStyle w:val="Abbildung"/>
      </w:pPr>
      <w:r>
        <w:rPr>
          <w:rFonts w:eastAsia="Arial Unicode MS"/>
        </w:rPr>
        <w:t>Abb</w:t>
      </w:r>
      <w:r w:rsidR="00EA1887">
        <w:rPr>
          <w:rFonts w:eastAsia="Arial Unicode MS"/>
        </w:rPr>
        <w:t>2</w:t>
      </w:r>
      <w:r w:rsidR="00327B1A">
        <w:rPr>
          <w:rFonts w:eastAsia="Arial Unicode MS"/>
        </w:rPr>
        <w:t>:</w:t>
      </w:r>
      <w:r w:rsidRPr="00B6470F">
        <w:rPr>
          <w:rFonts w:eastAsia="Arial Unicode MS"/>
        </w:rPr>
        <w:t xml:space="preserve"> </w:t>
      </w:r>
      <w:r w:rsidR="00866EA6">
        <w:t>Einwohnerdichte, GFZ und GRZ ausgewählter Nutzungen im Vergleich</w:t>
      </w:r>
      <w:r w:rsidRPr="00A6548B">
        <w:t xml:space="preserve"> </w:t>
      </w:r>
      <w:r w:rsidR="008D4CEE">
        <w:t xml:space="preserve">   </w:t>
      </w:r>
    </w:p>
    <w:p w:rsidR="003325AE" w:rsidRDefault="003325AE">
      <w:pPr>
        <w:spacing w:after="0"/>
        <w:jc w:val="left"/>
        <w:rPr>
          <w:rFonts w:cs="Arial"/>
          <w:noProof w:val="0"/>
        </w:rPr>
      </w:pPr>
    </w:p>
    <w:p w:rsidR="003325AE" w:rsidRDefault="00712D97" w:rsidP="002864F4">
      <w:pPr>
        <w:spacing w:after="0"/>
        <w:jc w:val="left"/>
        <w:rPr>
          <w:rFonts w:cs="Arial"/>
          <w:noProof w:val="0"/>
        </w:rPr>
      </w:pPr>
      <w:r w:rsidRPr="00866EA6">
        <w:rPr>
          <w:rFonts w:cs="Arial"/>
        </w:rPr>
        <w:lastRenderedPageBreak/>
        <w:drawing>
          <wp:inline distT="0" distB="0" distL="0" distR="0">
            <wp:extent cx="5895975" cy="7534275"/>
            <wp:effectExtent l="0" t="0" r="0" b="0"/>
            <wp:docPr id="3" name="Bild 3" descr="Einwohnerdichte, GFZ und GRZ der verschiedenen Stadtstrukturtypen im Vergl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nwohnerdichte, GFZ und GRZ der verschiedenen Stadtstrukturtypen im Verglei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7534275"/>
                    </a:xfrm>
                    <a:prstGeom prst="rect">
                      <a:avLst/>
                    </a:prstGeom>
                    <a:noFill/>
                    <a:ln>
                      <a:noFill/>
                    </a:ln>
                  </pic:spPr>
                </pic:pic>
              </a:graphicData>
            </a:graphic>
          </wp:inline>
        </w:drawing>
      </w:r>
    </w:p>
    <w:p w:rsidR="00AF3739" w:rsidRDefault="003325AE" w:rsidP="00C263DF">
      <w:pPr>
        <w:pStyle w:val="Abbildung"/>
      </w:pPr>
      <w:r>
        <w:rPr>
          <w:rFonts w:eastAsia="Arial Unicode MS"/>
        </w:rPr>
        <w:t xml:space="preserve">Abb. </w:t>
      </w:r>
      <w:r w:rsidR="00EA1887">
        <w:rPr>
          <w:rFonts w:eastAsia="Arial Unicode MS"/>
        </w:rPr>
        <w:t>3</w:t>
      </w:r>
      <w:r w:rsidR="0043261F">
        <w:rPr>
          <w:rFonts w:eastAsia="Arial Unicode MS"/>
        </w:rPr>
        <w:t>:</w:t>
      </w:r>
      <w:r w:rsidRPr="00B6470F">
        <w:rPr>
          <w:rFonts w:eastAsia="Arial Unicode MS"/>
        </w:rPr>
        <w:t xml:space="preserve"> </w:t>
      </w:r>
      <w:r>
        <w:rPr>
          <w:rFonts w:eastAsia="Arial Unicode MS"/>
        </w:rPr>
        <w:t xml:space="preserve"> </w:t>
      </w:r>
      <w:r w:rsidR="00AD4E41">
        <w:t>Einwohnerdichte, GFZ und GRZ der verschiedenen Stadtstrukturtypen im Vergleich</w:t>
      </w:r>
      <w:r w:rsidRPr="00A6548B">
        <w:t xml:space="preserve"> </w:t>
      </w:r>
      <w:r w:rsidR="008D4CEE">
        <w:t xml:space="preserve">  </w:t>
      </w:r>
    </w:p>
    <w:p w:rsidR="00EA1887" w:rsidRDefault="00866EA6" w:rsidP="00F83DEA">
      <w:pPr>
        <w:rPr>
          <w:rFonts w:cs="Arial"/>
          <w:noProof w:val="0"/>
        </w:rPr>
      </w:pPr>
      <w:r>
        <w:t>Die Abbildungen 2 und 3 zeigen die durchschnittlichen GFZ - und GRZ - Werte ausgewählter Nutzungen und Stadtstrukturtypen und stellen sie den durchschnittlichen Einwohnerdichten gegenüber. Beim Vergleich der Einwohnerdichte mit den beiden Kennzahlen Grund- und Geschossflächenzahl fällt vor allem auf, dass die größten Einwohnerdichten gemeinsam mit hohen städtebaulichen Dichten nach wie vor in den Quartieren mit gründerzeitlicher Blockbebauung anzutreffen sind. Satellitenstädte und Hochhauskomplexe liegen dagegen eher im Mittelfeld.</w:t>
      </w:r>
    </w:p>
    <w:p w:rsidR="005A52A4" w:rsidRPr="005A52A4" w:rsidRDefault="00712D97" w:rsidP="00B63C05">
      <w:pPr>
        <w:jc w:val="left"/>
        <w:rPr>
          <w:rFonts w:eastAsia="Arial Unicode MS" w:cs="Arial"/>
          <w:sz w:val="16"/>
          <w:szCs w:val="16"/>
        </w:rPr>
      </w:pPr>
      <w:r w:rsidRPr="00866EA6">
        <w:rPr>
          <w:rFonts w:eastAsia="Arial Unicode MS" w:cs="Arial"/>
          <w:sz w:val="16"/>
          <w:szCs w:val="16"/>
        </w:rPr>
        <w:lastRenderedPageBreak/>
        <w:drawing>
          <wp:inline distT="0" distB="0" distL="0" distR="0">
            <wp:extent cx="5848350" cy="4124325"/>
            <wp:effectExtent l="0" t="0" r="0" b="0"/>
            <wp:docPr id="4" name="Bild 4" descr="Einwohnerdichte im Verhältnis zur durchschnittlichen Geschossanzahl pro Block (nur Blöcke mit Wohnnutz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wohnerdichte im Verhältnis zur durchschnittlichen Geschossanzahl pro Block (nur Blöcke mit Wohnnutz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4124325"/>
                    </a:xfrm>
                    <a:prstGeom prst="rect">
                      <a:avLst/>
                    </a:prstGeom>
                    <a:noFill/>
                    <a:ln>
                      <a:noFill/>
                    </a:ln>
                  </pic:spPr>
                </pic:pic>
              </a:graphicData>
            </a:graphic>
          </wp:inline>
        </w:drawing>
      </w:r>
    </w:p>
    <w:p w:rsidR="003325AE" w:rsidRPr="00A6548B" w:rsidRDefault="003325AE" w:rsidP="00ED438B">
      <w:pPr>
        <w:pStyle w:val="Abbildung"/>
        <w:jc w:val="left"/>
      </w:pPr>
      <w:r>
        <w:rPr>
          <w:rFonts w:eastAsia="Arial Unicode MS"/>
        </w:rPr>
        <w:t>Abb</w:t>
      </w:r>
      <w:r w:rsidR="00EA1887">
        <w:rPr>
          <w:rFonts w:eastAsia="Arial Unicode MS"/>
        </w:rPr>
        <w:t>4</w:t>
      </w:r>
      <w:r w:rsidR="0043261F">
        <w:rPr>
          <w:rFonts w:eastAsia="Arial Unicode MS"/>
        </w:rPr>
        <w:t>:</w:t>
      </w:r>
      <w:r w:rsidRPr="00B6470F">
        <w:rPr>
          <w:rFonts w:eastAsia="Arial Unicode MS"/>
        </w:rPr>
        <w:t xml:space="preserve"> </w:t>
      </w:r>
      <w:r>
        <w:rPr>
          <w:rFonts w:eastAsia="Arial Unicode MS"/>
        </w:rPr>
        <w:t xml:space="preserve"> </w:t>
      </w:r>
      <w:r w:rsidR="00AD4E41">
        <w:t>Einwohnerdichte im Verhältnis zur durchschnittlichen Geschossanzahl pro Block (nur Blöcke mit Wohnnutzung)</w:t>
      </w:r>
    </w:p>
    <w:p w:rsidR="00EA1887" w:rsidRDefault="00F83DEA" w:rsidP="00F83DEA">
      <w:pPr>
        <w:rPr>
          <w:rFonts w:cs="Arial"/>
          <w:noProof w:val="0"/>
        </w:rPr>
      </w:pPr>
      <w:r>
        <w:t>Abb. 4 zeigt das Verhältnis zwischen Anzahl der Geschosse und Einwohnerdichte der 12.278 Blöcke, die als Nutzbeschreibung mit Wohngebiet, Kerngebiet oder Mischgebiet gekennzeichnet sind. Es zeigt sich, dass ab einer Geschosszahl zwischen 4 und 5 die Einwohnerzahl der untersuchten Wohnblöcke nicht kontinuierlich mit der Anzahl der Geschosse zunimmt, sondern gleich bleibt. Dies kann damit zusammenhängen, dass mit der Zunahme der Geschossigkeit der Bedarf an Infrastruktur wie Einkaufsmöglichkeiten, Parkplätzen oder Erholungsgebieten ebenfalls steigt, was einem weiteren Anstieg der Einwohnerdichte entgegenwirkt.</w:t>
      </w:r>
    </w:p>
    <w:p w:rsidR="003325AE" w:rsidRPr="001E6C03" w:rsidRDefault="003325AE" w:rsidP="009A5DDA">
      <w:pPr>
        <w:pStyle w:val="berschrift2"/>
        <w:rPr>
          <w:rFonts w:cs="Arial"/>
        </w:rPr>
      </w:pPr>
      <w:r w:rsidRPr="001E6C03">
        <w:rPr>
          <w:rFonts w:cs="Arial"/>
        </w:rPr>
        <w:t>Literatur</w:t>
      </w:r>
    </w:p>
    <w:p w:rsidR="003325AE" w:rsidRPr="001E6C03" w:rsidRDefault="003325AE" w:rsidP="00385905">
      <w:pPr>
        <w:pStyle w:val="LiKoerper"/>
        <w:spacing w:after="0"/>
        <w:ind w:hanging="567"/>
        <w:jc w:val="left"/>
        <w:rPr>
          <w:rFonts w:cs="Arial"/>
          <w:b/>
        </w:rPr>
      </w:pPr>
      <w:r w:rsidRPr="001E6C03">
        <w:rPr>
          <w:rFonts w:cs="Arial"/>
          <w:b/>
        </w:rPr>
        <w:t>[</w:t>
      </w:r>
      <w:r w:rsidR="00C263DF">
        <w:rPr>
          <w:rFonts w:cs="Arial"/>
          <w:b/>
        </w:rPr>
        <w:t>1</w:t>
      </w:r>
      <w:r w:rsidRPr="001E6C03">
        <w:rPr>
          <w:rFonts w:cs="Arial"/>
          <w:b/>
        </w:rPr>
        <w:t>]</w:t>
      </w:r>
      <w:r w:rsidRPr="001E6C03">
        <w:rPr>
          <w:rFonts w:cs="Arial"/>
          <w:b/>
        </w:rPr>
        <w:tab/>
        <w:t xml:space="preserve">Baunutzungsverordnung </w:t>
      </w:r>
      <w:r w:rsidR="00784A2C">
        <w:rPr>
          <w:rFonts w:cs="Arial"/>
          <w:b/>
        </w:rPr>
        <w:t xml:space="preserve">1990 </w:t>
      </w:r>
      <w:r w:rsidRPr="001E6C03">
        <w:rPr>
          <w:rFonts w:cs="Arial"/>
          <w:b/>
        </w:rPr>
        <w:t xml:space="preserve">(BauNVO) </w:t>
      </w:r>
    </w:p>
    <w:p w:rsidR="003325AE" w:rsidRPr="001E6C03" w:rsidRDefault="003325AE" w:rsidP="009A5DDA">
      <w:pPr>
        <w:pStyle w:val="LiKoerper"/>
        <w:ind w:hanging="567"/>
        <w:jc w:val="left"/>
        <w:rPr>
          <w:rFonts w:cs="Arial"/>
        </w:rPr>
      </w:pPr>
      <w:r w:rsidRPr="001E6C03">
        <w:rPr>
          <w:rFonts w:cs="Arial"/>
        </w:rPr>
        <w:tab/>
        <w:t xml:space="preserve">Auf: </w:t>
      </w:r>
      <w:hyperlink r:id="rId11" w:history="1">
        <w:r w:rsidRPr="009B7076">
          <w:rPr>
            <w:rStyle w:val="Hyperlink"/>
            <w:rFonts w:cs="Arial"/>
          </w:rPr>
          <w:t>http://bundesrecht.juris.de/bundesrecht/baunvo/gesamt.pdf</w:t>
        </w:r>
      </w:hyperlink>
      <w:r>
        <w:rPr>
          <w:rFonts w:cs="Arial"/>
        </w:rPr>
        <w:t xml:space="preserve">   </w:t>
      </w:r>
      <w:r w:rsidRPr="001E6C03">
        <w:rPr>
          <w:rFonts w:cs="Arial"/>
        </w:rPr>
        <w:t>(Zugriff am 07.07.2009)</w:t>
      </w:r>
    </w:p>
    <w:p w:rsidR="003325AE" w:rsidRDefault="003325AE" w:rsidP="00891840">
      <w:pPr>
        <w:pStyle w:val="LiKopf"/>
      </w:pPr>
      <w:r w:rsidRPr="001E6C03">
        <w:t>[</w:t>
      </w:r>
      <w:r w:rsidR="00B8332A">
        <w:t>2</w:t>
      </w:r>
      <w:r w:rsidRPr="001E6C03">
        <w:t>]</w:t>
      </w:r>
      <w:r w:rsidRPr="001E6C03">
        <w:tab/>
      </w:r>
      <w:r w:rsidR="00891840">
        <w:t>SenBauWohn (</w:t>
      </w:r>
      <w:r w:rsidRPr="001E6C03">
        <w:t>Senator für Bau- und Wohnungswesen</w:t>
      </w:r>
      <w:r w:rsidR="00891840">
        <w:t>)</w:t>
      </w:r>
      <w:r w:rsidRPr="001E6C03">
        <w:t>, 1980</w:t>
      </w:r>
      <w:r w:rsidR="00891840">
        <w:t>:</w:t>
      </w:r>
    </w:p>
    <w:p w:rsidR="00891840" w:rsidRPr="00891840" w:rsidRDefault="00891840" w:rsidP="00891840">
      <w:pPr>
        <w:pStyle w:val="LiKoerper"/>
      </w:pPr>
      <w:r w:rsidRPr="00891840">
        <w:t>Stadtplanerische Tragfähigkeitsuntersuchung Berlin, II a A</w:t>
      </w:r>
      <w:r w:rsidR="00B8332A">
        <w:t>, Stand 1977/</w:t>
      </w:r>
      <w:r w:rsidRPr="00891840">
        <w:t>78.</w:t>
      </w:r>
    </w:p>
    <w:p w:rsidR="00B8332A" w:rsidRPr="00891840" w:rsidRDefault="00B8332A" w:rsidP="00B8332A">
      <w:pPr>
        <w:pStyle w:val="LiKopf"/>
      </w:pPr>
      <w:r w:rsidRPr="00891840">
        <w:t>[</w:t>
      </w:r>
      <w:r>
        <w:t>3</w:t>
      </w:r>
      <w:r w:rsidRPr="00891840">
        <w:t>]</w:t>
      </w:r>
      <w:r w:rsidRPr="00891840">
        <w:tab/>
        <w:t>SenStadt (Senatsverwaltung für Stadtentwicklung Berlin) (Hrsg.) 2005:</w:t>
      </w:r>
    </w:p>
    <w:p w:rsidR="00B8332A" w:rsidRPr="00891840" w:rsidRDefault="00B8332A" w:rsidP="00B8332A">
      <w:pPr>
        <w:pStyle w:val="LiKoerper"/>
      </w:pPr>
      <w:r w:rsidRPr="00891840">
        <w:t>Flächennutzungsplan Berlin (FNP), Referat I B aktualisierte Fassung, März 2005.</w:t>
      </w:r>
    </w:p>
    <w:p w:rsidR="003325AE" w:rsidRPr="001E6C03" w:rsidRDefault="003325AE" w:rsidP="009A5DDA">
      <w:pPr>
        <w:pStyle w:val="berschrift3"/>
        <w:rPr>
          <w:rFonts w:cs="Arial"/>
        </w:rPr>
      </w:pPr>
      <w:r w:rsidRPr="001E6C03">
        <w:rPr>
          <w:rFonts w:cs="Arial"/>
        </w:rPr>
        <w:t>Karten</w:t>
      </w:r>
    </w:p>
    <w:p w:rsidR="003325AE" w:rsidRPr="001E6C03" w:rsidRDefault="003325AE" w:rsidP="009A5DDA">
      <w:pPr>
        <w:pStyle w:val="LiKopf"/>
        <w:jc w:val="left"/>
        <w:rPr>
          <w:rFonts w:cs="Arial"/>
        </w:rPr>
      </w:pPr>
      <w:r w:rsidRPr="001E6C03">
        <w:rPr>
          <w:rFonts w:cs="Arial"/>
        </w:rPr>
        <w:t>[</w:t>
      </w:r>
      <w:r w:rsidR="00C263DF">
        <w:rPr>
          <w:rFonts w:cs="Arial"/>
        </w:rPr>
        <w:t>4</w:t>
      </w:r>
      <w:r w:rsidRPr="001E6C03">
        <w:rPr>
          <w:rFonts w:cs="Arial"/>
        </w:rPr>
        <w:t>]</w:t>
      </w:r>
      <w:r w:rsidRPr="001E6C03">
        <w:rPr>
          <w:rFonts w:cs="Arial"/>
        </w:rPr>
        <w:tab/>
        <w:t>SenStadt (Senatsverwaltung für Stadtentwicklung Berlin) (Hrsg.), 20</w:t>
      </w:r>
      <w:r w:rsidR="001379DD">
        <w:rPr>
          <w:rFonts w:cs="Arial"/>
        </w:rPr>
        <w:t>10</w:t>
      </w:r>
      <w:r w:rsidRPr="001E6C03">
        <w:rPr>
          <w:rFonts w:cs="Arial"/>
        </w:rPr>
        <w:t>:</w:t>
      </w:r>
    </w:p>
    <w:p w:rsidR="003325AE" w:rsidRPr="001E6C03" w:rsidRDefault="003325AE" w:rsidP="009A5DDA">
      <w:pPr>
        <w:pStyle w:val="LiKoerper"/>
        <w:jc w:val="left"/>
        <w:rPr>
          <w:rFonts w:cs="Arial"/>
        </w:rPr>
      </w:pPr>
      <w:r>
        <w:rPr>
          <w:rFonts w:cs="Arial"/>
        </w:rPr>
        <w:t>Blockk</w:t>
      </w:r>
      <w:r w:rsidRPr="001E6C03">
        <w:rPr>
          <w:rFonts w:cs="Arial"/>
        </w:rPr>
        <w:t xml:space="preserve">arte 1:5000 (ISU5), </w:t>
      </w:r>
      <w:r w:rsidR="00891840" w:rsidRPr="001E6C03">
        <w:rPr>
          <w:rFonts w:cs="Arial"/>
        </w:rPr>
        <w:t>III F</w:t>
      </w:r>
      <w:r w:rsidR="00891840">
        <w:rPr>
          <w:rFonts w:cs="Arial"/>
        </w:rPr>
        <w:t>,</w:t>
      </w:r>
      <w:r w:rsidRPr="001E6C03">
        <w:rPr>
          <w:rFonts w:cs="Arial"/>
        </w:rPr>
        <w:t xml:space="preserve"> Stand:31.12.20</w:t>
      </w:r>
      <w:r w:rsidR="001379DD">
        <w:rPr>
          <w:rFonts w:cs="Arial"/>
        </w:rPr>
        <w:t>10</w:t>
      </w:r>
      <w:r w:rsidRPr="001E6C03">
        <w:rPr>
          <w:rFonts w:cs="Arial"/>
        </w:rPr>
        <w:t xml:space="preserve">, Berlin. </w:t>
      </w:r>
    </w:p>
    <w:p w:rsidR="003325AE" w:rsidRPr="001E6C03" w:rsidRDefault="003325AE" w:rsidP="009A5DDA">
      <w:pPr>
        <w:pStyle w:val="LiKopf"/>
        <w:jc w:val="left"/>
        <w:rPr>
          <w:rFonts w:cs="Arial"/>
        </w:rPr>
      </w:pPr>
      <w:r w:rsidRPr="001E6C03">
        <w:rPr>
          <w:rFonts w:cs="Arial"/>
        </w:rPr>
        <w:t>[</w:t>
      </w:r>
      <w:r w:rsidR="00C263DF">
        <w:rPr>
          <w:rFonts w:cs="Arial"/>
        </w:rPr>
        <w:t>5</w:t>
      </w:r>
      <w:r w:rsidRPr="001E6C03">
        <w:rPr>
          <w:rFonts w:cs="Arial"/>
        </w:rPr>
        <w:t>]</w:t>
      </w:r>
      <w:r w:rsidRPr="001E6C03">
        <w:rPr>
          <w:rFonts w:cs="Arial"/>
        </w:rPr>
        <w:tab/>
        <w:t>SenStadt (Senatsverwaltung für Stadtentwicklung Berlin) (Hrsg.) 20</w:t>
      </w:r>
      <w:r w:rsidR="001379DD">
        <w:rPr>
          <w:rFonts w:cs="Arial"/>
        </w:rPr>
        <w:t>11</w:t>
      </w:r>
      <w:r w:rsidRPr="001E6C03">
        <w:rPr>
          <w:rFonts w:cs="Arial"/>
        </w:rPr>
        <w:t>:</w:t>
      </w:r>
    </w:p>
    <w:p w:rsidR="003325AE" w:rsidRDefault="001379DD" w:rsidP="00891840">
      <w:pPr>
        <w:pStyle w:val="LiKoerper"/>
        <w:rPr>
          <w:rFonts w:cs="Arial"/>
          <w:b/>
        </w:rPr>
      </w:pPr>
      <w:r>
        <w:t>Karte der Gebäudegeschosse auf Grundlage der Automatisierte Liegenschaftskarte Berlin (ALK) als Teil des Liegenschaftskatasters</w:t>
      </w:r>
      <w:r w:rsidR="003325AE" w:rsidRPr="00891840">
        <w:t xml:space="preserve"> (Stand</w:t>
      </w:r>
      <w:r w:rsidR="002E7614">
        <w:t xml:space="preserve"> </w:t>
      </w:r>
      <w:r>
        <w:rPr>
          <w:rFonts w:cs="Arial"/>
        </w:rPr>
        <w:t>30.06.2011</w:t>
      </w:r>
      <w:r w:rsidR="003325AE" w:rsidRPr="00891840">
        <w:rPr>
          <w:rFonts w:cs="Arial"/>
        </w:rPr>
        <w:t>)</w:t>
      </w:r>
    </w:p>
    <w:sectPr w:rsidR="003325AE" w:rsidSect="00A75E8D">
      <w:headerReference w:type="even" r:id="rId12"/>
      <w:footerReference w:type="even" r:id="rId13"/>
      <w:footerReference w:type="default" r:id="rId14"/>
      <w:headerReference w:type="first" r:id="rId15"/>
      <w:footerReference w:type="first" r:id="rId16"/>
      <w:footnotePr>
        <w:numRestart w:val="eachPage"/>
      </w:footnotePr>
      <w:pgSz w:w="11901" w:h="16840" w:code="9"/>
      <w:pgMar w:top="1134" w:right="1134" w:bottom="1134" w:left="1701" w:header="720" w:footer="720" w:gutter="0"/>
      <w:pgNumType w:start="1"/>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3A" w:rsidRDefault="004D593A">
      <w:r>
        <w:separator/>
      </w:r>
    </w:p>
  </w:endnote>
  <w:endnote w:type="continuationSeparator" w:id="0">
    <w:p w:rsidR="004D593A" w:rsidRDefault="004D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6E" w:rsidRDefault="008C546E" w:rsidP="00704C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E40CA">
      <w:rPr>
        <w:rStyle w:val="Seitenzahl"/>
      </w:rPr>
      <w:t>2</w:t>
    </w:r>
    <w:r>
      <w:rPr>
        <w:rStyle w:val="Seitenzahl"/>
      </w:rPr>
      <w:fldChar w:fldCharType="end"/>
    </w:r>
  </w:p>
  <w:p w:rsidR="008C546E" w:rsidRDefault="008C54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CA" w:rsidRDefault="00AE40CA" w:rsidP="00AE40CA">
    <w:pPr>
      <w:pStyle w:val="Fuzeile"/>
      <w:jc w:val="center"/>
    </w:pPr>
    <w:r>
      <w:rPr>
        <w:rStyle w:val="Seitenzahl"/>
      </w:rPr>
      <w:fldChar w:fldCharType="begin"/>
    </w:r>
    <w:r>
      <w:rPr>
        <w:rStyle w:val="Seitenzahl"/>
      </w:rPr>
      <w:instrText xml:space="preserve"> PAGE </w:instrText>
    </w:r>
    <w:r>
      <w:rPr>
        <w:rStyle w:val="Seitenzahl"/>
      </w:rPr>
      <w:fldChar w:fldCharType="separate"/>
    </w:r>
    <w:r w:rsidR="00712D97">
      <w:rPr>
        <w:rStyle w:val="Seitenzahl"/>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5D" w:rsidRDefault="00FD295D" w:rsidP="00FD295D">
    <w:pPr>
      <w:pStyle w:val="Fuzeile"/>
      <w:jc w:val="center"/>
    </w:pPr>
    <w:r>
      <w:rPr>
        <w:rStyle w:val="Seitenzahl"/>
      </w:rPr>
      <w:fldChar w:fldCharType="begin"/>
    </w:r>
    <w:r>
      <w:rPr>
        <w:rStyle w:val="Seitenzahl"/>
      </w:rPr>
      <w:instrText xml:space="preserve"> PAGE </w:instrText>
    </w:r>
    <w:r>
      <w:rPr>
        <w:rStyle w:val="Seitenzahl"/>
      </w:rPr>
      <w:fldChar w:fldCharType="separate"/>
    </w:r>
    <w:r w:rsidR="00712D97">
      <w:rPr>
        <w:rStyle w:val="Seitenzahl"/>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3A" w:rsidRDefault="004D593A">
      <w:r>
        <w:separator/>
      </w:r>
    </w:p>
  </w:footnote>
  <w:footnote w:type="continuationSeparator" w:id="0">
    <w:p w:rsidR="004D593A" w:rsidRDefault="004D5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6E" w:rsidRDefault="008C546E">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5D" w:rsidRDefault="00712D97" w:rsidP="00FD295D">
    <w:pPr>
      <w:pStyle w:val="Kopfzeile"/>
      <w:spacing w:after="0"/>
      <w:rPr>
        <w:rFonts w:ascii="Berlin CI Condensed Medium" w:hAnsi="Berlin CI Condensed Medium" w:cs="Arial"/>
        <w:b/>
        <w:sz w:val="24"/>
        <w:szCs w:val="24"/>
      </w:rPr>
    </w:pPr>
    <w:r w:rsidRPr="0068424C">
      <w:rPr>
        <w:rFonts w:ascii="Berlin CI Condensed Medium" w:hAnsi="Berlin CI Condensed Medium" w:cs="Arial"/>
        <w:b/>
        <w:sz w:val="24"/>
        <w:szCs w:val="24"/>
      </w:rPr>
      <w:drawing>
        <wp:anchor distT="0" distB="0" distL="114300" distR="114300" simplePos="0" relativeHeight="251657728" behindDoc="0" locked="0" layoutInCell="1" allowOverlap="1">
          <wp:simplePos x="0" y="0"/>
          <wp:positionH relativeFrom="column">
            <wp:posOffset>4381500</wp:posOffset>
          </wp:positionH>
          <wp:positionV relativeFrom="paragraph">
            <wp:posOffset>34290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95D" w:rsidRPr="0068424C">
      <w:rPr>
        <w:rFonts w:ascii="Berlin CI Condensed Medium" w:hAnsi="Berlin CI Condensed Medium" w:cs="Arial"/>
        <w:b/>
        <w:sz w:val="24"/>
        <w:szCs w:val="24"/>
      </w:rPr>
      <w:t>Senatsverwaltung für Stadtentwicklung und Umwelt</w:t>
    </w:r>
  </w:p>
  <w:p w:rsidR="00FD295D" w:rsidRDefault="00FD29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EE1D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7C26BB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7C2E7A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7FA24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15615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A0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5887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60C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410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CAC1B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7367A"/>
    <w:multiLevelType w:val="hybridMultilevel"/>
    <w:tmpl w:val="CAC2F5CA"/>
    <w:lvl w:ilvl="0" w:tplc="C2247B96">
      <w:numFmt w:val="bullet"/>
      <w:lvlText w:val="-"/>
      <w:lvlJc w:val="left"/>
      <w:pPr>
        <w:tabs>
          <w:tab w:val="num" w:pos="720"/>
        </w:tabs>
        <w:ind w:left="720" w:hanging="360"/>
      </w:pPr>
      <w:rPr>
        <w:rFonts w:ascii="Arial" w:eastAsia="Arial Unicode MS"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732016"/>
    <w:multiLevelType w:val="multilevel"/>
    <w:tmpl w:val="4B22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AC68AD"/>
    <w:multiLevelType w:val="hybridMultilevel"/>
    <w:tmpl w:val="E5BCE4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AA"/>
    <w:rsid w:val="000104AC"/>
    <w:rsid w:val="0001059E"/>
    <w:rsid w:val="00013C46"/>
    <w:rsid w:val="000149AC"/>
    <w:rsid w:val="0001765C"/>
    <w:rsid w:val="000222AA"/>
    <w:rsid w:val="00026F10"/>
    <w:rsid w:val="00026F5F"/>
    <w:rsid w:val="00035687"/>
    <w:rsid w:val="00042DC3"/>
    <w:rsid w:val="00043F55"/>
    <w:rsid w:val="000449EF"/>
    <w:rsid w:val="00057B73"/>
    <w:rsid w:val="00067D2F"/>
    <w:rsid w:val="00074490"/>
    <w:rsid w:val="0007722E"/>
    <w:rsid w:val="00077A1A"/>
    <w:rsid w:val="0008284E"/>
    <w:rsid w:val="00082DD6"/>
    <w:rsid w:val="0009020B"/>
    <w:rsid w:val="000967D9"/>
    <w:rsid w:val="000A0FAB"/>
    <w:rsid w:val="000A1A19"/>
    <w:rsid w:val="000B04F6"/>
    <w:rsid w:val="000B26AE"/>
    <w:rsid w:val="000B6B97"/>
    <w:rsid w:val="000C36EB"/>
    <w:rsid w:val="000C43B5"/>
    <w:rsid w:val="000C7E11"/>
    <w:rsid w:val="000D3B41"/>
    <w:rsid w:val="000E3CAF"/>
    <w:rsid w:val="000F3CF4"/>
    <w:rsid w:val="00100A5C"/>
    <w:rsid w:val="001025F9"/>
    <w:rsid w:val="00103622"/>
    <w:rsid w:val="001055D0"/>
    <w:rsid w:val="00105FD1"/>
    <w:rsid w:val="00106A68"/>
    <w:rsid w:val="001077F8"/>
    <w:rsid w:val="00116EA4"/>
    <w:rsid w:val="001227AE"/>
    <w:rsid w:val="00122A1C"/>
    <w:rsid w:val="00122D9D"/>
    <w:rsid w:val="001379DD"/>
    <w:rsid w:val="001413BF"/>
    <w:rsid w:val="00145139"/>
    <w:rsid w:val="001468C8"/>
    <w:rsid w:val="00153392"/>
    <w:rsid w:val="00174D3B"/>
    <w:rsid w:val="001753AE"/>
    <w:rsid w:val="00180767"/>
    <w:rsid w:val="00184C9F"/>
    <w:rsid w:val="00185B1E"/>
    <w:rsid w:val="0019217C"/>
    <w:rsid w:val="001A6976"/>
    <w:rsid w:val="001A7BAF"/>
    <w:rsid w:val="001B17E3"/>
    <w:rsid w:val="001B74A5"/>
    <w:rsid w:val="001D189B"/>
    <w:rsid w:val="001E2BFD"/>
    <w:rsid w:val="001E6C03"/>
    <w:rsid w:val="001E73A5"/>
    <w:rsid w:val="001F4508"/>
    <w:rsid w:val="001F6072"/>
    <w:rsid w:val="001F65A4"/>
    <w:rsid w:val="00200502"/>
    <w:rsid w:val="002037C9"/>
    <w:rsid w:val="00203CEA"/>
    <w:rsid w:val="00205E92"/>
    <w:rsid w:val="002114F1"/>
    <w:rsid w:val="002250E5"/>
    <w:rsid w:val="00241CBF"/>
    <w:rsid w:val="002445C5"/>
    <w:rsid w:val="00245DBE"/>
    <w:rsid w:val="00253899"/>
    <w:rsid w:val="002636E3"/>
    <w:rsid w:val="00265ACE"/>
    <w:rsid w:val="00270429"/>
    <w:rsid w:val="00277D0A"/>
    <w:rsid w:val="00284755"/>
    <w:rsid w:val="002864F4"/>
    <w:rsid w:val="00291870"/>
    <w:rsid w:val="0029228F"/>
    <w:rsid w:val="00294A5B"/>
    <w:rsid w:val="002A0E18"/>
    <w:rsid w:val="002A7A3D"/>
    <w:rsid w:val="002A7D7B"/>
    <w:rsid w:val="002B1436"/>
    <w:rsid w:val="002B55B5"/>
    <w:rsid w:val="002B5EBA"/>
    <w:rsid w:val="002C3EB4"/>
    <w:rsid w:val="002D446D"/>
    <w:rsid w:val="002E16EB"/>
    <w:rsid w:val="002E3906"/>
    <w:rsid w:val="002E7614"/>
    <w:rsid w:val="002F4455"/>
    <w:rsid w:val="00300D6E"/>
    <w:rsid w:val="00304F27"/>
    <w:rsid w:val="00306D32"/>
    <w:rsid w:val="00307482"/>
    <w:rsid w:val="003074AC"/>
    <w:rsid w:val="00307FD7"/>
    <w:rsid w:val="00311ECD"/>
    <w:rsid w:val="00325419"/>
    <w:rsid w:val="00327B1A"/>
    <w:rsid w:val="00330900"/>
    <w:rsid w:val="003325AE"/>
    <w:rsid w:val="00336D27"/>
    <w:rsid w:val="00342C81"/>
    <w:rsid w:val="00343657"/>
    <w:rsid w:val="0034625F"/>
    <w:rsid w:val="00363602"/>
    <w:rsid w:val="00365872"/>
    <w:rsid w:val="003662C3"/>
    <w:rsid w:val="00372A86"/>
    <w:rsid w:val="00374949"/>
    <w:rsid w:val="0038018C"/>
    <w:rsid w:val="00382842"/>
    <w:rsid w:val="003832B6"/>
    <w:rsid w:val="00385905"/>
    <w:rsid w:val="00386684"/>
    <w:rsid w:val="00390997"/>
    <w:rsid w:val="00390B69"/>
    <w:rsid w:val="00394893"/>
    <w:rsid w:val="003A439B"/>
    <w:rsid w:val="003A5E80"/>
    <w:rsid w:val="003B183C"/>
    <w:rsid w:val="003B5104"/>
    <w:rsid w:val="003B5833"/>
    <w:rsid w:val="003C2DE6"/>
    <w:rsid w:val="003C38C8"/>
    <w:rsid w:val="003C40D3"/>
    <w:rsid w:val="003C78D4"/>
    <w:rsid w:val="003D376F"/>
    <w:rsid w:val="003D5A2E"/>
    <w:rsid w:val="003D640A"/>
    <w:rsid w:val="003E03D1"/>
    <w:rsid w:val="003E119A"/>
    <w:rsid w:val="003E4894"/>
    <w:rsid w:val="003E6751"/>
    <w:rsid w:val="003F1CB9"/>
    <w:rsid w:val="003F2864"/>
    <w:rsid w:val="003F7370"/>
    <w:rsid w:val="004012B6"/>
    <w:rsid w:val="00415F00"/>
    <w:rsid w:val="004171B4"/>
    <w:rsid w:val="00422019"/>
    <w:rsid w:val="0042324A"/>
    <w:rsid w:val="0042799C"/>
    <w:rsid w:val="0043261F"/>
    <w:rsid w:val="004327AE"/>
    <w:rsid w:val="004348A9"/>
    <w:rsid w:val="00444591"/>
    <w:rsid w:val="00463F67"/>
    <w:rsid w:val="0046405D"/>
    <w:rsid w:val="00466AC6"/>
    <w:rsid w:val="00467A2F"/>
    <w:rsid w:val="00470F2F"/>
    <w:rsid w:val="00481163"/>
    <w:rsid w:val="004921FF"/>
    <w:rsid w:val="0049768F"/>
    <w:rsid w:val="004A6C0F"/>
    <w:rsid w:val="004B1435"/>
    <w:rsid w:val="004B265F"/>
    <w:rsid w:val="004B3466"/>
    <w:rsid w:val="004B4A0F"/>
    <w:rsid w:val="004B5184"/>
    <w:rsid w:val="004B7827"/>
    <w:rsid w:val="004C2E0B"/>
    <w:rsid w:val="004C3BB4"/>
    <w:rsid w:val="004C4FCD"/>
    <w:rsid w:val="004D593A"/>
    <w:rsid w:val="004E1737"/>
    <w:rsid w:val="004F27AA"/>
    <w:rsid w:val="004F675E"/>
    <w:rsid w:val="00502898"/>
    <w:rsid w:val="00505112"/>
    <w:rsid w:val="00506686"/>
    <w:rsid w:val="0052090B"/>
    <w:rsid w:val="00522B86"/>
    <w:rsid w:val="005240FE"/>
    <w:rsid w:val="0052799E"/>
    <w:rsid w:val="00527E21"/>
    <w:rsid w:val="00533E7B"/>
    <w:rsid w:val="00545207"/>
    <w:rsid w:val="005473AE"/>
    <w:rsid w:val="005521C0"/>
    <w:rsid w:val="00552A4C"/>
    <w:rsid w:val="00560BF9"/>
    <w:rsid w:val="0056773C"/>
    <w:rsid w:val="00591393"/>
    <w:rsid w:val="005A52A4"/>
    <w:rsid w:val="005A5BEC"/>
    <w:rsid w:val="005A74FC"/>
    <w:rsid w:val="005B0C13"/>
    <w:rsid w:val="005C0D3A"/>
    <w:rsid w:val="005C0E28"/>
    <w:rsid w:val="005D1CE1"/>
    <w:rsid w:val="005D2863"/>
    <w:rsid w:val="005D2CB5"/>
    <w:rsid w:val="005D3860"/>
    <w:rsid w:val="005D6FEB"/>
    <w:rsid w:val="005E444B"/>
    <w:rsid w:val="005F4209"/>
    <w:rsid w:val="005F4918"/>
    <w:rsid w:val="005F6B56"/>
    <w:rsid w:val="006039FE"/>
    <w:rsid w:val="00623D17"/>
    <w:rsid w:val="00624FEF"/>
    <w:rsid w:val="0062707A"/>
    <w:rsid w:val="006313CE"/>
    <w:rsid w:val="00641291"/>
    <w:rsid w:val="00643E9D"/>
    <w:rsid w:val="006509B3"/>
    <w:rsid w:val="00656B73"/>
    <w:rsid w:val="00661E64"/>
    <w:rsid w:val="00664F79"/>
    <w:rsid w:val="0067163A"/>
    <w:rsid w:val="00676686"/>
    <w:rsid w:val="00676F47"/>
    <w:rsid w:val="0068498A"/>
    <w:rsid w:val="00686ACE"/>
    <w:rsid w:val="0068743B"/>
    <w:rsid w:val="00691D99"/>
    <w:rsid w:val="0069255E"/>
    <w:rsid w:val="006A0FCC"/>
    <w:rsid w:val="006A387E"/>
    <w:rsid w:val="006C12F4"/>
    <w:rsid w:val="006C3EA2"/>
    <w:rsid w:val="006C5498"/>
    <w:rsid w:val="006D0D7F"/>
    <w:rsid w:val="006D524A"/>
    <w:rsid w:val="006E4545"/>
    <w:rsid w:val="006E4D69"/>
    <w:rsid w:val="00703417"/>
    <w:rsid w:val="00704C27"/>
    <w:rsid w:val="00711130"/>
    <w:rsid w:val="00712D97"/>
    <w:rsid w:val="00730415"/>
    <w:rsid w:val="00734608"/>
    <w:rsid w:val="0074041B"/>
    <w:rsid w:val="00747F52"/>
    <w:rsid w:val="007512E1"/>
    <w:rsid w:val="00751991"/>
    <w:rsid w:val="00753B18"/>
    <w:rsid w:val="00766C4D"/>
    <w:rsid w:val="00773494"/>
    <w:rsid w:val="00782E6E"/>
    <w:rsid w:val="00784A2C"/>
    <w:rsid w:val="00784F72"/>
    <w:rsid w:val="0078671B"/>
    <w:rsid w:val="007A7392"/>
    <w:rsid w:val="007C0989"/>
    <w:rsid w:val="007C37C3"/>
    <w:rsid w:val="007C7CE4"/>
    <w:rsid w:val="007F190F"/>
    <w:rsid w:val="007F62E1"/>
    <w:rsid w:val="0081244C"/>
    <w:rsid w:val="00812E89"/>
    <w:rsid w:val="008206FD"/>
    <w:rsid w:val="0082160F"/>
    <w:rsid w:val="008401BB"/>
    <w:rsid w:val="008415DA"/>
    <w:rsid w:val="00843388"/>
    <w:rsid w:val="00846AC4"/>
    <w:rsid w:val="00850BFD"/>
    <w:rsid w:val="008634A2"/>
    <w:rsid w:val="008659B1"/>
    <w:rsid w:val="00866EA6"/>
    <w:rsid w:val="00873D09"/>
    <w:rsid w:val="00882F81"/>
    <w:rsid w:val="00890CCE"/>
    <w:rsid w:val="00891840"/>
    <w:rsid w:val="008921B4"/>
    <w:rsid w:val="00892AF8"/>
    <w:rsid w:val="00897D67"/>
    <w:rsid w:val="008A3F0F"/>
    <w:rsid w:val="008A5BB6"/>
    <w:rsid w:val="008B2967"/>
    <w:rsid w:val="008B64CB"/>
    <w:rsid w:val="008B75B5"/>
    <w:rsid w:val="008C1503"/>
    <w:rsid w:val="008C3739"/>
    <w:rsid w:val="008C546E"/>
    <w:rsid w:val="008D24E9"/>
    <w:rsid w:val="008D4CEE"/>
    <w:rsid w:val="008E3096"/>
    <w:rsid w:val="008E730F"/>
    <w:rsid w:val="008F0672"/>
    <w:rsid w:val="008F4240"/>
    <w:rsid w:val="008F73CF"/>
    <w:rsid w:val="008F7FD5"/>
    <w:rsid w:val="00910FF1"/>
    <w:rsid w:val="009128CC"/>
    <w:rsid w:val="00912FD1"/>
    <w:rsid w:val="00913873"/>
    <w:rsid w:val="0092132D"/>
    <w:rsid w:val="00932BF9"/>
    <w:rsid w:val="00934DB3"/>
    <w:rsid w:val="00935C37"/>
    <w:rsid w:val="0093613D"/>
    <w:rsid w:val="00942C7D"/>
    <w:rsid w:val="00954CAE"/>
    <w:rsid w:val="00956E1C"/>
    <w:rsid w:val="00957697"/>
    <w:rsid w:val="009625E3"/>
    <w:rsid w:val="009739C7"/>
    <w:rsid w:val="00973BBF"/>
    <w:rsid w:val="00976AB2"/>
    <w:rsid w:val="00983077"/>
    <w:rsid w:val="00990C0C"/>
    <w:rsid w:val="00995454"/>
    <w:rsid w:val="009A5DDA"/>
    <w:rsid w:val="009B4CCA"/>
    <w:rsid w:val="009B7076"/>
    <w:rsid w:val="009B7763"/>
    <w:rsid w:val="009C6682"/>
    <w:rsid w:val="009C6D00"/>
    <w:rsid w:val="009D09B7"/>
    <w:rsid w:val="009D3B1E"/>
    <w:rsid w:val="009D4ABE"/>
    <w:rsid w:val="009D6B8A"/>
    <w:rsid w:val="009E5417"/>
    <w:rsid w:val="009F27C1"/>
    <w:rsid w:val="009F4D53"/>
    <w:rsid w:val="00A0765C"/>
    <w:rsid w:val="00A14C74"/>
    <w:rsid w:val="00A33118"/>
    <w:rsid w:val="00A43DD0"/>
    <w:rsid w:val="00A53779"/>
    <w:rsid w:val="00A53C6D"/>
    <w:rsid w:val="00A54208"/>
    <w:rsid w:val="00A6404A"/>
    <w:rsid w:val="00A64F5D"/>
    <w:rsid w:val="00A6548B"/>
    <w:rsid w:val="00A66266"/>
    <w:rsid w:val="00A668FD"/>
    <w:rsid w:val="00A67624"/>
    <w:rsid w:val="00A72DBE"/>
    <w:rsid w:val="00A75E8D"/>
    <w:rsid w:val="00A81D02"/>
    <w:rsid w:val="00A854CF"/>
    <w:rsid w:val="00AA341B"/>
    <w:rsid w:val="00AC44B3"/>
    <w:rsid w:val="00AC4726"/>
    <w:rsid w:val="00AC5432"/>
    <w:rsid w:val="00AD4E41"/>
    <w:rsid w:val="00AD53B9"/>
    <w:rsid w:val="00AD58CE"/>
    <w:rsid w:val="00AD6AC3"/>
    <w:rsid w:val="00AE40CA"/>
    <w:rsid w:val="00AE78F4"/>
    <w:rsid w:val="00AF0F51"/>
    <w:rsid w:val="00AF3739"/>
    <w:rsid w:val="00AF4DB1"/>
    <w:rsid w:val="00B0342E"/>
    <w:rsid w:val="00B06C80"/>
    <w:rsid w:val="00B10410"/>
    <w:rsid w:val="00B20FCA"/>
    <w:rsid w:val="00B224BC"/>
    <w:rsid w:val="00B34829"/>
    <w:rsid w:val="00B44789"/>
    <w:rsid w:val="00B45F4F"/>
    <w:rsid w:val="00B50833"/>
    <w:rsid w:val="00B51EB1"/>
    <w:rsid w:val="00B57B5D"/>
    <w:rsid w:val="00B63C05"/>
    <w:rsid w:val="00B6470F"/>
    <w:rsid w:val="00B65B80"/>
    <w:rsid w:val="00B77292"/>
    <w:rsid w:val="00B80398"/>
    <w:rsid w:val="00B80C26"/>
    <w:rsid w:val="00B8332A"/>
    <w:rsid w:val="00B86B67"/>
    <w:rsid w:val="00B86DF3"/>
    <w:rsid w:val="00B87767"/>
    <w:rsid w:val="00B95666"/>
    <w:rsid w:val="00BA03E8"/>
    <w:rsid w:val="00BB4506"/>
    <w:rsid w:val="00BB54CB"/>
    <w:rsid w:val="00BC30A8"/>
    <w:rsid w:val="00BD00BD"/>
    <w:rsid w:val="00BD180B"/>
    <w:rsid w:val="00BD4A9A"/>
    <w:rsid w:val="00BD580E"/>
    <w:rsid w:val="00BD67DD"/>
    <w:rsid w:val="00BD711E"/>
    <w:rsid w:val="00BD7F3A"/>
    <w:rsid w:val="00BE137D"/>
    <w:rsid w:val="00BF5F09"/>
    <w:rsid w:val="00C03DDA"/>
    <w:rsid w:val="00C11E88"/>
    <w:rsid w:val="00C17700"/>
    <w:rsid w:val="00C22A73"/>
    <w:rsid w:val="00C263DF"/>
    <w:rsid w:val="00C31165"/>
    <w:rsid w:val="00C327BA"/>
    <w:rsid w:val="00C34283"/>
    <w:rsid w:val="00C40262"/>
    <w:rsid w:val="00C429A7"/>
    <w:rsid w:val="00C6365B"/>
    <w:rsid w:val="00C64C5C"/>
    <w:rsid w:val="00C82F86"/>
    <w:rsid w:val="00C8422C"/>
    <w:rsid w:val="00C915D0"/>
    <w:rsid w:val="00C96B62"/>
    <w:rsid w:val="00CA52A7"/>
    <w:rsid w:val="00CB1100"/>
    <w:rsid w:val="00CB489D"/>
    <w:rsid w:val="00CB7D74"/>
    <w:rsid w:val="00CC10CA"/>
    <w:rsid w:val="00CC7593"/>
    <w:rsid w:val="00CE0E50"/>
    <w:rsid w:val="00CF55D3"/>
    <w:rsid w:val="00CF5BCE"/>
    <w:rsid w:val="00CF674E"/>
    <w:rsid w:val="00D02549"/>
    <w:rsid w:val="00D035C0"/>
    <w:rsid w:val="00D11F95"/>
    <w:rsid w:val="00D27CF4"/>
    <w:rsid w:val="00D33FCB"/>
    <w:rsid w:val="00D34830"/>
    <w:rsid w:val="00D360D2"/>
    <w:rsid w:val="00D42DB7"/>
    <w:rsid w:val="00D45E3E"/>
    <w:rsid w:val="00D5154B"/>
    <w:rsid w:val="00D54CC9"/>
    <w:rsid w:val="00D74206"/>
    <w:rsid w:val="00D83024"/>
    <w:rsid w:val="00D83245"/>
    <w:rsid w:val="00D9119A"/>
    <w:rsid w:val="00D939C2"/>
    <w:rsid w:val="00D97369"/>
    <w:rsid w:val="00DA4870"/>
    <w:rsid w:val="00DA6378"/>
    <w:rsid w:val="00DB4931"/>
    <w:rsid w:val="00DB6449"/>
    <w:rsid w:val="00DD5855"/>
    <w:rsid w:val="00DE0FA4"/>
    <w:rsid w:val="00DE5861"/>
    <w:rsid w:val="00DF27CF"/>
    <w:rsid w:val="00E032E4"/>
    <w:rsid w:val="00E03446"/>
    <w:rsid w:val="00E10FC7"/>
    <w:rsid w:val="00E14F46"/>
    <w:rsid w:val="00E14FA6"/>
    <w:rsid w:val="00E16E77"/>
    <w:rsid w:val="00E2140F"/>
    <w:rsid w:val="00E2709C"/>
    <w:rsid w:val="00E41716"/>
    <w:rsid w:val="00E4432F"/>
    <w:rsid w:val="00E46516"/>
    <w:rsid w:val="00E46D79"/>
    <w:rsid w:val="00E529D9"/>
    <w:rsid w:val="00E6000D"/>
    <w:rsid w:val="00E6145A"/>
    <w:rsid w:val="00E61766"/>
    <w:rsid w:val="00E62CCB"/>
    <w:rsid w:val="00E63926"/>
    <w:rsid w:val="00E75A75"/>
    <w:rsid w:val="00E806F0"/>
    <w:rsid w:val="00E817C8"/>
    <w:rsid w:val="00E90842"/>
    <w:rsid w:val="00E90AA2"/>
    <w:rsid w:val="00E92E61"/>
    <w:rsid w:val="00EA1887"/>
    <w:rsid w:val="00EA2072"/>
    <w:rsid w:val="00EA478E"/>
    <w:rsid w:val="00EB7DC2"/>
    <w:rsid w:val="00ED438B"/>
    <w:rsid w:val="00ED58E7"/>
    <w:rsid w:val="00EE56C3"/>
    <w:rsid w:val="00EE7ABF"/>
    <w:rsid w:val="00EF3733"/>
    <w:rsid w:val="00F07D25"/>
    <w:rsid w:val="00F16D85"/>
    <w:rsid w:val="00F205D9"/>
    <w:rsid w:val="00F21E34"/>
    <w:rsid w:val="00F230A8"/>
    <w:rsid w:val="00F265CF"/>
    <w:rsid w:val="00F37A6C"/>
    <w:rsid w:val="00F435A4"/>
    <w:rsid w:val="00F4559D"/>
    <w:rsid w:val="00F50603"/>
    <w:rsid w:val="00F51912"/>
    <w:rsid w:val="00F52A71"/>
    <w:rsid w:val="00F56A5C"/>
    <w:rsid w:val="00F56D98"/>
    <w:rsid w:val="00F60A7F"/>
    <w:rsid w:val="00F66D10"/>
    <w:rsid w:val="00F7407E"/>
    <w:rsid w:val="00F769CF"/>
    <w:rsid w:val="00F83DEA"/>
    <w:rsid w:val="00F8407A"/>
    <w:rsid w:val="00F85D53"/>
    <w:rsid w:val="00F929FE"/>
    <w:rsid w:val="00F97C86"/>
    <w:rsid w:val="00FA1195"/>
    <w:rsid w:val="00FA1319"/>
    <w:rsid w:val="00FA3543"/>
    <w:rsid w:val="00FA5F80"/>
    <w:rsid w:val="00FA78FC"/>
    <w:rsid w:val="00FB223A"/>
    <w:rsid w:val="00FB565B"/>
    <w:rsid w:val="00FB5B9C"/>
    <w:rsid w:val="00FB7F2B"/>
    <w:rsid w:val="00FC7033"/>
    <w:rsid w:val="00FD295D"/>
    <w:rsid w:val="00FD36B2"/>
    <w:rsid w:val="00FD43C3"/>
    <w:rsid w:val="00FF30B4"/>
    <w:rsid w:val="00FF3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89ACCD-E7BA-4335-A621-7AC0FB8D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4F6"/>
    <w:pPr>
      <w:spacing w:after="120"/>
      <w:jc w:val="both"/>
    </w:pPr>
    <w:rPr>
      <w:rFonts w:ascii="Arial" w:hAnsi="Arial"/>
      <w:noProof/>
      <w:color w:val="000000"/>
    </w:rPr>
  </w:style>
  <w:style w:type="paragraph" w:styleId="berschrift1">
    <w:name w:val="heading 1"/>
    <w:basedOn w:val="Standard"/>
    <w:next w:val="Standard"/>
    <w:link w:val="berschrift1Zchn"/>
    <w:qFormat/>
    <w:rsid w:val="00E16E77"/>
    <w:pPr>
      <w:keepNext/>
      <w:keepLines/>
      <w:pBdr>
        <w:top w:val="single" w:sz="6" w:space="2" w:color="000000"/>
        <w:left w:val="single" w:sz="6" w:space="2" w:color="000000"/>
        <w:bottom w:val="single" w:sz="6" w:space="2" w:color="000000"/>
        <w:right w:val="single" w:sz="6" w:space="2" w:color="000000"/>
      </w:pBdr>
      <w:suppressAutoHyphens/>
      <w:spacing w:before="240" w:after="240"/>
      <w:outlineLvl w:val="0"/>
    </w:pPr>
    <w:rPr>
      <w:b/>
      <w:noProof w:val="0"/>
      <w:sz w:val="48"/>
    </w:rPr>
  </w:style>
  <w:style w:type="paragraph" w:styleId="berschrift2">
    <w:name w:val="heading 2"/>
    <w:basedOn w:val="Standard"/>
    <w:next w:val="Standard"/>
    <w:link w:val="berschrift2Zchn"/>
    <w:qFormat/>
    <w:rsid w:val="00E16E77"/>
    <w:pPr>
      <w:keepNext/>
      <w:keepLines/>
      <w:shd w:val="pct20" w:color="auto" w:fill="auto"/>
      <w:suppressAutoHyphens/>
      <w:spacing w:before="120"/>
      <w:jc w:val="left"/>
      <w:outlineLvl w:val="1"/>
    </w:pPr>
    <w:rPr>
      <w:noProof w:val="0"/>
      <w:color w:val="auto"/>
      <w:sz w:val="36"/>
    </w:rPr>
  </w:style>
  <w:style w:type="paragraph" w:styleId="berschrift3">
    <w:name w:val="heading 3"/>
    <w:basedOn w:val="berschrift2"/>
    <w:next w:val="Standard"/>
    <w:link w:val="berschrift3Zchn"/>
    <w:qFormat/>
    <w:rsid w:val="00E16E77"/>
    <w:pPr>
      <w:shd w:val="clear" w:color="auto" w:fill="auto"/>
      <w:outlineLvl w:val="2"/>
    </w:pPr>
    <w:rPr>
      <w:sz w:val="28"/>
    </w:rPr>
  </w:style>
  <w:style w:type="paragraph" w:styleId="berschrift4">
    <w:name w:val="heading 4"/>
    <w:basedOn w:val="berschrift3"/>
    <w:next w:val="Standard"/>
    <w:link w:val="berschrift4Zchn"/>
    <w:qFormat/>
    <w:rsid w:val="00E16E77"/>
    <w:pPr>
      <w:ind w:left="360"/>
      <w:outlineLvl w:val="3"/>
    </w:pPr>
  </w:style>
  <w:style w:type="paragraph" w:styleId="berschrift5">
    <w:name w:val="heading 5"/>
    <w:basedOn w:val="berschrift4"/>
    <w:next w:val="Standard"/>
    <w:link w:val="berschrift5Zchn"/>
    <w:qFormat/>
    <w:rsid w:val="00E16E77"/>
    <w:pPr>
      <w:outlineLvl w:val="4"/>
    </w:pPr>
  </w:style>
  <w:style w:type="paragraph" w:styleId="berschrift6">
    <w:name w:val="heading 6"/>
    <w:basedOn w:val="berschrift5"/>
    <w:next w:val="Standard"/>
    <w:link w:val="berschrift6Zchn"/>
    <w:qFormat/>
    <w:rsid w:val="00E16E77"/>
    <w:pPr>
      <w:outlineLvl w:val="5"/>
    </w:pPr>
  </w:style>
  <w:style w:type="paragraph" w:styleId="berschrift7">
    <w:name w:val="heading 7"/>
    <w:basedOn w:val="Standard"/>
    <w:next w:val="Standard"/>
    <w:link w:val="berschrift7Zchn"/>
    <w:qFormat/>
    <w:rsid w:val="00E16E77"/>
    <w:pPr>
      <w:spacing w:before="240" w:after="60"/>
      <w:outlineLvl w:val="6"/>
    </w:pPr>
  </w:style>
  <w:style w:type="paragraph" w:styleId="berschrift8">
    <w:name w:val="heading 8"/>
    <w:basedOn w:val="Standard"/>
    <w:next w:val="Standard"/>
    <w:link w:val="berschrift8Zchn"/>
    <w:qFormat/>
    <w:rsid w:val="00E16E77"/>
    <w:pPr>
      <w:spacing w:before="240" w:after="60"/>
      <w:outlineLvl w:val="7"/>
    </w:pPr>
    <w:rPr>
      <w:i/>
    </w:rPr>
  </w:style>
  <w:style w:type="paragraph" w:styleId="berschrift9">
    <w:name w:val="heading 9"/>
    <w:basedOn w:val="Standard"/>
    <w:next w:val="Standard"/>
    <w:link w:val="berschrift9Zchn"/>
    <w:qFormat/>
    <w:rsid w:val="00E16E77"/>
    <w:pPr>
      <w:spacing w:before="240" w:after="60"/>
      <w:outlineLvl w:val="8"/>
    </w:pPr>
    <w:rPr>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basedOn w:val="Absatz-Standardschriftart"/>
    <w:link w:val="berschrift1"/>
    <w:locked/>
    <w:rsid w:val="00D035C0"/>
    <w:rPr>
      <w:rFonts w:ascii="Cambria" w:hAnsi="Cambria" w:cs="Times New Roman"/>
      <w:b/>
      <w:bCs/>
      <w:noProof/>
      <w:color w:val="000000"/>
      <w:kern w:val="32"/>
      <w:sz w:val="32"/>
      <w:szCs w:val="32"/>
    </w:rPr>
  </w:style>
  <w:style w:type="character" w:customStyle="1" w:styleId="berschrift2Zchn">
    <w:name w:val="Überschrift 2 Zchn"/>
    <w:basedOn w:val="Absatz-Standardschriftart"/>
    <w:link w:val="berschrift2"/>
    <w:semiHidden/>
    <w:locked/>
    <w:rsid w:val="00D035C0"/>
    <w:rPr>
      <w:rFonts w:ascii="Cambria" w:hAnsi="Cambria" w:cs="Times New Roman"/>
      <w:b/>
      <w:bCs/>
      <w:i/>
      <w:iCs/>
      <w:noProof/>
      <w:color w:val="000000"/>
      <w:sz w:val="28"/>
      <w:szCs w:val="28"/>
    </w:rPr>
  </w:style>
  <w:style w:type="character" w:customStyle="1" w:styleId="berschrift3Zchn">
    <w:name w:val="Überschrift 3 Zchn"/>
    <w:basedOn w:val="Absatz-Standardschriftart"/>
    <w:link w:val="berschrift3"/>
    <w:semiHidden/>
    <w:locked/>
    <w:rsid w:val="00D035C0"/>
    <w:rPr>
      <w:rFonts w:ascii="Cambria" w:hAnsi="Cambria" w:cs="Times New Roman"/>
      <w:b/>
      <w:bCs/>
      <w:noProof/>
      <w:color w:val="000000"/>
      <w:sz w:val="26"/>
      <w:szCs w:val="26"/>
    </w:rPr>
  </w:style>
  <w:style w:type="character" w:customStyle="1" w:styleId="berschrift4Zchn">
    <w:name w:val="Überschrift 4 Zchn"/>
    <w:basedOn w:val="Absatz-Standardschriftart"/>
    <w:link w:val="berschrift4"/>
    <w:semiHidden/>
    <w:locked/>
    <w:rsid w:val="00D035C0"/>
    <w:rPr>
      <w:rFonts w:ascii="Calibri" w:hAnsi="Calibri" w:cs="Times New Roman"/>
      <w:b/>
      <w:bCs/>
      <w:noProof/>
      <w:color w:val="000000"/>
      <w:sz w:val="28"/>
      <w:szCs w:val="28"/>
    </w:rPr>
  </w:style>
  <w:style w:type="character" w:customStyle="1" w:styleId="berschrift5Zchn">
    <w:name w:val="Überschrift 5 Zchn"/>
    <w:basedOn w:val="Absatz-Standardschriftart"/>
    <w:link w:val="berschrift5"/>
    <w:semiHidden/>
    <w:locked/>
    <w:rsid w:val="00D035C0"/>
    <w:rPr>
      <w:rFonts w:ascii="Calibri" w:hAnsi="Calibri" w:cs="Times New Roman"/>
      <w:b/>
      <w:bCs/>
      <w:i/>
      <w:iCs/>
      <w:noProof/>
      <w:color w:val="000000"/>
      <w:sz w:val="26"/>
      <w:szCs w:val="26"/>
    </w:rPr>
  </w:style>
  <w:style w:type="character" w:customStyle="1" w:styleId="berschrift6Zchn">
    <w:name w:val="Überschrift 6 Zchn"/>
    <w:basedOn w:val="Absatz-Standardschriftart"/>
    <w:link w:val="berschrift6"/>
    <w:semiHidden/>
    <w:locked/>
    <w:rsid w:val="00D035C0"/>
    <w:rPr>
      <w:rFonts w:ascii="Calibri" w:hAnsi="Calibri" w:cs="Times New Roman"/>
      <w:b/>
      <w:bCs/>
      <w:noProof/>
      <w:color w:val="000000"/>
    </w:rPr>
  </w:style>
  <w:style w:type="character" w:customStyle="1" w:styleId="berschrift7Zchn">
    <w:name w:val="Überschrift 7 Zchn"/>
    <w:basedOn w:val="Absatz-Standardschriftart"/>
    <w:link w:val="berschrift7"/>
    <w:semiHidden/>
    <w:locked/>
    <w:rsid w:val="00D035C0"/>
    <w:rPr>
      <w:rFonts w:ascii="Calibri" w:hAnsi="Calibri" w:cs="Times New Roman"/>
      <w:noProof/>
      <w:color w:val="000000"/>
      <w:sz w:val="24"/>
      <w:szCs w:val="24"/>
    </w:rPr>
  </w:style>
  <w:style w:type="character" w:customStyle="1" w:styleId="berschrift8Zchn">
    <w:name w:val="Überschrift 8 Zchn"/>
    <w:basedOn w:val="Absatz-Standardschriftart"/>
    <w:link w:val="berschrift8"/>
    <w:semiHidden/>
    <w:locked/>
    <w:rsid w:val="00D035C0"/>
    <w:rPr>
      <w:rFonts w:ascii="Calibri" w:hAnsi="Calibri" w:cs="Times New Roman"/>
      <w:i/>
      <w:iCs/>
      <w:noProof/>
      <w:color w:val="000000"/>
      <w:sz w:val="24"/>
      <w:szCs w:val="24"/>
    </w:rPr>
  </w:style>
  <w:style w:type="character" w:customStyle="1" w:styleId="berschrift9Zchn">
    <w:name w:val="Überschrift 9 Zchn"/>
    <w:basedOn w:val="Absatz-Standardschriftart"/>
    <w:link w:val="berschrift9"/>
    <w:semiHidden/>
    <w:locked/>
    <w:rsid w:val="00D035C0"/>
    <w:rPr>
      <w:rFonts w:ascii="Cambria" w:hAnsi="Cambria" w:cs="Times New Roman"/>
      <w:noProof/>
      <w:color w:val="000000"/>
    </w:rPr>
  </w:style>
  <w:style w:type="paragraph" w:customStyle="1" w:styleId="Aufzhlung">
    <w:name w:val="Aufzählung"/>
    <w:basedOn w:val="Standard"/>
    <w:rsid w:val="00E16E77"/>
    <w:pPr>
      <w:tabs>
        <w:tab w:val="left" w:pos="280"/>
      </w:tabs>
      <w:ind w:left="280" w:hanging="280"/>
    </w:pPr>
  </w:style>
  <w:style w:type="paragraph" w:customStyle="1" w:styleId="Abbildung">
    <w:name w:val="Abbildung"/>
    <w:basedOn w:val="Standard"/>
    <w:next w:val="Standard"/>
    <w:rsid w:val="00E16E77"/>
    <w:pPr>
      <w:keepLines/>
      <w:pBdr>
        <w:top w:val="double" w:sz="6" w:space="2" w:color="auto"/>
        <w:left w:val="double" w:sz="6" w:space="2" w:color="auto"/>
        <w:bottom w:val="double" w:sz="6" w:space="2" w:color="auto"/>
        <w:right w:val="double" w:sz="6" w:space="2" w:color="auto"/>
      </w:pBdr>
      <w:spacing w:before="120" w:line="210" w:lineRule="atLeast"/>
    </w:pPr>
    <w:rPr>
      <w:i/>
      <w:noProof w:val="0"/>
    </w:rPr>
  </w:style>
  <w:style w:type="paragraph" w:customStyle="1" w:styleId="Tabelle">
    <w:name w:val="Tabelle"/>
    <w:basedOn w:val="Standard"/>
    <w:next w:val="Standard"/>
    <w:autoRedefine/>
    <w:rsid w:val="00995454"/>
    <w:pPr>
      <w:keepLines/>
      <w:pBdr>
        <w:top w:val="single" w:sz="6" w:space="2" w:color="auto" w:shadow="1"/>
        <w:left w:val="single" w:sz="6" w:space="2" w:color="auto" w:shadow="1"/>
        <w:bottom w:val="single" w:sz="6" w:space="2" w:color="auto" w:shadow="1"/>
        <w:right w:val="single" w:sz="6" w:space="2" w:color="auto" w:shadow="1"/>
      </w:pBdr>
      <w:spacing w:before="120" w:line="210" w:lineRule="atLeast"/>
    </w:pPr>
    <w:rPr>
      <w:b/>
      <w:i/>
      <w:noProof w:val="0"/>
    </w:rPr>
  </w:style>
  <w:style w:type="paragraph" w:customStyle="1" w:styleId="LiKopf">
    <w:name w:val="Li_Kopf"/>
    <w:link w:val="LiKopfZchn"/>
    <w:rsid w:val="00E16E77"/>
    <w:pPr>
      <w:keepNext/>
      <w:keepLines/>
      <w:ind w:left="567" w:hanging="567"/>
      <w:jc w:val="both"/>
    </w:pPr>
    <w:rPr>
      <w:rFonts w:ascii="Arial" w:hAnsi="Arial"/>
      <w:b/>
    </w:rPr>
  </w:style>
  <w:style w:type="paragraph" w:customStyle="1" w:styleId="LiKoerper">
    <w:name w:val="Li_Koerper"/>
    <w:basedOn w:val="LiKopf"/>
    <w:link w:val="LiKoerperZchn"/>
    <w:rsid w:val="00E16E77"/>
    <w:pPr>
      <w:keepNext w:val="0"/>
      <w:keepLines w:val="0"/>
      <w:spacing w:after="120"/>
      <w:ind w:firstLine="0"/>
    </w:pPr>
    <w:rPr>
      <w:b w:val="0"/>
    </w:rPr>
  </w:style>
  <w:style w:type="paragraph" w:styleId="Kopfzeile">
    <w:name w:val="header"/>
    <w:basedOn w:val="Standard"/>
    <w:link w:val="KopfzeileZchn"/>
    <w:rsid w:val="00E16E77"/>
    <w:pPr>
      <w:tabs>
        <w:tab w:val="center" w:pos="4536"/>
        <w:tab w:val="right" w:pos="9072"/>
      </w:tabs>
    </w:pPr>
  </w:style>
  <w:style w:type="character" w:customStyle="1" w:styleId="KopfzeileZchn">
    <w:name w:val="Kopfzeile Zchn"/>
    <w:basedOn w:val="Absatz-Standardschriftart"/>
    <w:link w:val="Kopfzeile"/>
    <w:semiHidden/>
    <w:locked/>
    <w:rsid w:val="00D035C0"/>
    <w:rPr>
      <w:rFonts w:ascii="Arial" w:hAnsi="Arial" w:cs="Times New Roman"/>
      <w:noProof/>
      <w:color w:val="000000"/>
      <w:sz w:val="20"/>
      <w:szCs w:val="20"/>
    </w:rPr>
  </w:style>
  <w:style w:type="paragraph" w:styleId="Fuzeile">
    <w:name w:val="footer"/>
    <w:basedOn w:val="Standard"/>
    <w:link w:val="FuzeileZchn"/>
    <w:rsid w:val="00E16E77"/>
    <w:pPr>
      <w:tabs>
        <w:tab w:val="center" w:pos="4536"/>
        <w:tab w:val="right" w:pos="9072"/>
      </w:tabs>
    </w:pPr>
  </w:style>
  <w:style w:type="character" w:customStyle="1" w:styleId="FuzeileZchn">
    <w:name w:val="Fußzeile Zchn"/>
    <w:basedOn w:val="Absatz-Standardschriftart"/>
    <w:link w:val="Fuzeile"/>
    <w:semiHidden/>
    <w:locked/>
    <w:rsid w:val="00D035C0"/>
    <w:rPr>
      <w:rFonts w:ascii="Arial" w:hAnsi="Arial" w:cs="Times New Roman"/>
      <w:noProof/>
      <w:color w:val="000000"/>
      <w:sz w:val="20"/>
      <w:szCs w:val="20"/>
    </w:rPr>
  </w:style>
  <w:style w:type="character" w:styleId="Seitenzahl">
    <w:name w:val="page number"/>
    <w:basedOn w:val="Absatz-Standardschriftart"/>
    <w:rsid w:val="00E16E77"/>
    <w:rPr>
      <w:rFonts w:cs="Times New Roman"/>
    </w:rPr>
  </w:style>
  <w:style w:type="paragraph" w:styleId="Abbildungsverzeichnis">
    <w:name w:val="table of figures"/>
    <w:basedOn w:val="Standard"/>
    <w:next w:val="Standard"/>
    <w:semiHidden/>
    <w:rsid w:val="00E16E77"/>
    <w:pPr>
      <w:ind w:left="400" w:hanging="400"/>
    </w:pPr>
  </w:style>
  <w:style w:type="paragraph" w:styleId="Umschlagabsenderadresse">
    <w:name w:val="envelope return"/>
    <w:basedOn w:val="Standard"/>
    <w:rsid w:val="00E16E77"/>
  </w:style>
  <w:style w:type="paragraph" w:customStyle="1" w:styleId="Anrede1">
    <w:name w:val="Anrede1"/>
    <w:basedOn w:val="Standard"/>
    <w:next w:val="Standard"/>
    <w:rsid w:val="00E16E77"/>
  </w:style>
  <w:style w:type="paragraph" w:styleId="Aufzhlungszeichen">
    <w:name w:val="List Bullet"/>
    <w:basedOn w:val="Standard"/>
    <w:rsid w:val="00E16E77"/>
    <w:pPr>
      <w:tabs>
        <w:tab w:val="num" w:pos="360"/>
      </w:tabs>
      <w:ind w:left="360" w:hanging="360"/>
    </w:pPr>
  </w:style>
  <w:style w:type="paragraph" w:styleId="Aufzhlungszeichen2">
    <w:name w:val="List Bullet 2"/>
    <w:basedOn w:val="Standard"/>
    <w:rsid w:val="00E16E77"/>
    <w:pPr>
      <w:tabs>
        <w:tab w:val="num" w:pos="643"/>
      </w:tabs>
      <w:ind w:left="643" w:hanging="360"/>
    </w:pPr>
  </w:style>
  <w:style w:type="paragraph" w:styleId="Aufzhlungszeichen3">
    <w:name w:val="List Bullet 3"/>
    <w:basedOn w:val="Standard"/>
    <w:rsid w:val="00E16E77"/>
    <w:pPr>
      <w:tabs>
        <w:tab w:val="num" w:pos="926"/>
      </w:tabs>
      <w:ind w:left="926" w:hanging="360"/>
    </w:pPr>
  </w:style>
  <w:style w:type="paragraph" w:styleId="Aufzhlungszeichen4">
    <w:name w:val="List Bullet 4"/>
    <w:basedOn w:val="Standard"/>
    <w:rsid w:val="00E16E77"/>
    <w:pPr>
      <w:tabs>
        <w:tab w:val="num" w:pos="1209"/>
      </w:tabs>
      <w:ind w:left="1209" w:hanging="360"/>
    </w:pPr>
  </w:style>
  <w:style w:type="paragraph" w:styleId="Aufzhlungszeichen5">
    <w:name w:val="List Bullet 5"/>
    <w:basedOn w:val="Standard"/>
    <w:rsid w:val="00E16E77"/>
    <w:pPr>
      <w:tabs>
        <w:tab w:val="num" w:pos="1492"/>
      </w:tabs>
      <w:ind w:left="1492" w:hanging="360"/>
    </w:pPr>
  </w:style>
  <w:style w:type="paragraph" w:styleId="Beschriftung">
    <w:name w:val="caption"/>
    <w:basedOn w:val="Standard"/>
    <w:next w:val="Standard"/>
    <w:qFormat/>
    <w:rsid w:val="00E16E77"/>
    <w:pPr>
      <w:spacing w:before="120"/>
    </w:pPr>
    <w:rPr>
      <w:b/>
    </w:rPr>
  </w:style>
  <w:style w:type="paragraph" w:customStyle="1" w:styleId="Blocktext1">
    <w:name w:val="Blocktext1"/>
    <w:basedOn w:val="Standard"/>
    <w:rsid w:val="00E16E77"/>
    <w:pPr>
      <w:ind w:left="1440" w:right="1440"/>
    </w:pPr>
  </w:style>
  <w:style w:type="paragraph" w:customStyle="1" w:styleId="Datum1">
    <w:name w:val="Datum1"/>
    <w:basedOn w:val="Standard"/>
    <w:next w:val="Standard"/>
    <w:rsid w:val="00E16E77"/>
  </w:style>
  <w:style w:type="paragraph" w:customStyle="1" w:styleId="Dokumentstruktur1">
    <w:name w:val="Dokumentstruktur1"/>
    <w:basedOn w:val="Standard"/>
    <w:rsid w:val="00E16E77"/>
    <w:pPr>
      <w:shd w:val="clear" w:color="auto" w:fill="000080"/>
    </w:pPr>
    <w:rPr>
      <w:rFonts w:ascii="Tahoma" w:hAnsi="Tahoma"/>
    </w:rPr>
  </w:style>
  <w:style w:type="paragraph" w:styleId="Endnotentext">
    <w:name w:val="endnote text"/>
    <w:basedOn w:val="Standard"/>
    <w:link w:val="EndnotentextZchn"/>
    <w:semiHidden/>
    <w:rsid w:val="00E16E77"/>
  </w:style>
  <w:style w:type="character" w:customStyle="1" w:styleId="EndnotentextZchn">
    <w:name w:val="Endnotentext Zchn"/>
    <w:basedOn w:val="Absatz-Standardschriftart"/>
    <w:link w:val="Endnotentext"/>
    <w:semiHidden/>
    <w:locked/>
    <w:rsid w:val="00D035C0"/>
    <w:rPr>
      <w:rFonts w:ascii="Arial" w:hAnsi="Arial" w:cs="Times New Roman"/>
      <w:noProof/>
      <w:color w:val="000000"/>
      <w:sz w:val="20"/>
      <w:szCs w:val="20"/>
    </w:rPr>
  </w:style>
  <w:style w:type="paragraph" w:customStyle="1" w:styleId="Fu-Endnotenberschrift1">
    <w:name w:val="Fuß/-Endnotenüberschrift1"/>
    <w:basedOn w:val="Standard"/>
    <w:next w:val="Standard"/>
    <w:rsid w:val="00E16E77"/>
  </w:style>
  <w:style w:type="paragraph" w:styleId="Funotentext">
    <w:name w:val="footnote text"/>
    <w:basedOn w:val="Standard"/>
    <w:link w:val="FunotentextZchn"/>
    <w:semiHidden/>
    <w:rsid w:val="00E16E77"/>
  </w:style>
  <w:style w:type="character" w:customStyle="1" w:styleId="FunotentextZchn">
    <w:name w:val="Fußnotentext Zchn"/>
    <w:basedOn w:val="Absatz-Standardschriftart"/>
    <w:link w:val="Funotentext"/>
    <w:semiHidden/>
    <w:locked/>
    <w:rsid w:val="00D035C0"/>
    <w:rPr>
      <w:rFonts w:ascii="Arial" w:hAnsi="Arial" w:cs="Times New Roman"/>
      <w:noProof/>
      <w:color w:val="000000"/>
      <w:sz w:val="20"/>
      <w:szCs w:val="20"/>
    </w:rPr>
  </w:style>
  <w:style w:type="paragraph" w:styleId="Gruformel">
    <w:name w:val="Closing"/>
    <w:basedOn w:val="Standard"/>
    <w:link w:val="GruformelZchn"/>
    <w:rsid w:val="00E16E77"/>
    <w:pPr>
      <w:ind w:left="4252"/>
    </w:pPr>
  </w:style>
  <w:style w:type="character" w:customStyle="1" w:styleId="GruformelZchn">
    <w:name w:val="Grußformel Zchn"/>
    <w:basedOn w:val="Absatz-Standardschriftart"/>
    <w:link w:val="Gruformel"/>
    <w:semiHidden/>
    <w:locked/>
    <w:rsid w:val="00D035C0"/>
    <w:rPr>
      <w:rFonts w:ascii="Arial" w:hAnsi="Arial" w:cs="Times New Roman"/>
      <w:noProof/>
      <w:color w:val="000000"/>
      <w:sz w:val="20"/>
      <w:szCs w:val="20"/>
    </w:rPr>
  </w:style>
  <w:style w:type="paragraph" w:styleId="Index1">
    <w:name w:val="index 1"/>
    <w:basedOn w:val="Standard"/>
    <w:next w:val="Standard"/>
    <w:semiHidden/>
    <w:rsid w:val="00E16E77"/>
    <w:pPr>
      <w:ind w:left="200" w:hanging="200"/>
    </w:pPr>
  </w:style>
  <w:style w:type="paragraph" w:styleId="Index2">
    <w:name w:val="index 2"/>
    <w:basedOn w:val="Standard"/>
    <w:next w:val="Standard"/>
    <w:semiHidden/>
    <w:rsid w:val="00E16E77"/>
    <w:pPr>
      <w:ind w:left="400" w:hanging="200"/>
    </w:pPr>
  </w:style>
  <w:style w:type="paragraph" w:styleId="Index3">
    <w:name w:val="index 3"/>
    <w:basedOn w:val="Standard"/>
    <w:next w:val="Standard"/>
    <w:semiHidden/>
    <w:rsid w:val="00E16E77"/>
    <w:pPr>
      <w:ind w:left="600" w:hanging="200"/>
    </w:pPr>
  </w:style>
  <w:style w:type="paragraph" w:styleId="Index4">
    <w:name w:val="index 4"/>
    <w:basedOn w:val="Standard"/>
    <w:next w:val="Standard"/>
    <w:semiHidden/>
    <w:rsid w:val="00E16E77"/>
    <w:pPr>
      <w:ind w:left="800" w:hanging="200"/>
    </w:pPr>
  </w:style>
  <w:style w:type="paragraph" w:styleId="Index5">
    <w:name w:val="index 5"/>
    <w:basedOn w:val="Standard"/>
    <w:next w:val="Standard"/>
    <w:semiHidden/>
    <w:rsid w:val="00E16E77"/>
    <w:pPr>
      <w:ind w:left="1000" w:hanging="200"/>
    </w:pPr>
  </w:style>
  <w:style w:type="paragraph" w:styleId="Index6">
    <w:name w:val="index 6"/>
    <w:basedOn w:val="Standard"/>
    <w:next w:val="Standard"/>
    <w:semiHidden/>
    <w:rsid w:val="00E16E77"/>
    <w:pPr>
      <w:ind w:left="1200" w:hanging="200"/>
    </w:pPr>
  </w:style>
  <w:style w:type="paragraph" w:styleId="Index7">
    <w:name w:val="index 7"/>
    <w:basedOn w:val="Standard"/>
    <w:next w:val="Standard"/>
    <w:semiHidden/>
    <w:rsid w:val="00E16E77"/>
    <w:pPr>
      <w:ind w:left="1400" w:hanging="200"/>
    </w:pPr>
  </w:style>
  <w:style w:type="paragraph" w:styleId="Index8">
    <w:name w:val="index 8"/>
    <w:basedOn w:val="Standard"/>
    <w:next w:val="Standard"/>
    <w:semiHidden/>
    <w:rsid w:val="00E16E77"/>
    <w:pPr>
      <w:ind w:left="1600" w:hanging="200"/>
    </w:pPr>
  </w:style>
  <w:style w:type="paragraph" w:styleId="Index9">
    <w:name w:val="index 9"/>
    <w:basedOn w:val="Standard"/>
    <w:next w:val="Standard"/>
    <w:semiHidden/>
    <w:rsid w:val="00E16E77"/>
    <w:pPr>
      <w:ind w:left="1800" w:hanging="200"/>
    </w:pPr>
  </w:style>
  <w:style w:type="paragraph" w:styleId="Indexberschrift">
    <w:name w:val="index heading"/>
    <w:basedOn w:val="Standard"/>
    <w:next w:val="Index1"/>
    <w:semiHidden/>
    <w:rsid w:val="00E16E77"/>
    <w:rPr>
      <w:b/>
    </w:rPr>
  </w:style>
  <w:style w:type="paragraph" w:styleId="Kommentartext">
    <w:name w:val="annotation text"/>
    <w:basedOn w:val="Standard"/>
    <w:link w:val="KommentartextZchn"/>
    <w:semiHidden/>
    <w:rsid w:val="00E16E77"/>
  </w:style>
  <w:style w:type="character" w:customStyle="1" w:styleId="KommentartextZchn">
    <w:name w:val="Kommentartext Zchn"/>
    <w:basedOn w:val="Absatz-Standardschriftart"/>
    <w:link w:val="Kommentartext"/>
    <w:semiHidden/>
    <w:locked/>
    <w:rsid w:val="00D035C0"/>
    <w:rPr>
      <w:rFonts w:ascii="Arial" w:hAnsi="Arial" w:cs="Times New Roman"/>
      <w:noProof/>
      <w:color w:val="000000"/>
      <w:sz w:val="20"/>
      <w:szCs w:val="20"/>
    </w:rPr>
  </w:style>
  <w:style w:type="paragraph" w:styleId="Liste">
    <w:name w:val="List"/>
    <w:basedOn w:val="Standard"/>
    <w:rsid w:val="00E16E77"/>
    <w:pPr>
      <w:ind w:left="283" w:hanging="283"/>
    </w:pPr>
  </w:style>
  <w:style w:type="paragraph" w:styleId="Liste2">
    <w:name w:val="List 2"/>
    <w:basedOn w:val="Standard"/>
    <w:rsid w:val="00E16E77"/>
    <w:pPr>
      <w:ind w:left="566" w:hanging="283"/>
    </w:pPr>
  </w:style>
  <w:style w:type="paragraph" w:styleId="Liste3">
    <w:name w:val="List 3"/>
    <w:basedOn w:val="Standard"/>
    <w:rsid w:val="00E16E77"/>
    <w:pPr>
      <w:ind w:left="849" w:hanging="283"/>
    </w:pPr>
  </w:style>
  <w:style w:type="paragraph" w:styleId="Liste4">
    <w:name w:val="List 4"/>
    <w:basedOn w:val="Standard"/>
    <w:rsid w:val="00E16E77"/>
    <w:pPr>
      <w:ind w:left="1132" w:hanging="283"/>
    </w:pPr>
  </w:style>
  <w:style w:type="paragraph" w:styleId="Liste5">
    <w:name w:val="List 5"/>
    <w:basedOn w:val="Standard"/>
    <w:rsid w:val="00E16E77"/>
    <w:pPr>
      <w:ind w:left="1415" w:hanging="283"/>
    </w:pPr>
  </w:style>
  <w:style w:type="paragraph" w:styleId="Listenfortsetzung">
    <w:name w:val="List Continue"/>
    <w:basedOn w:val="Standard"/>
    <w:rsid w:val="00E16E77"/>
    <w:pPr>
      <w:ind w:left="283"/>
    </w:pPr>
  </w:style>
  <w:style w:type="paragraph" w:styleId="Listenfortsetzung2">
    <w:name w:val="List Continue 2"/>
    <w:basedOn w:val="Standard"/>
    <w:rsid w:val="00E16E77"/>
    <w:pPr>
      <w:ind w:left="566"/>
    </w:pPr>
  </w:style>
  <w:style w:type="paragraph" w:styleId="Listenfortsetzung3">
    <w:name w:val="List Continue 3"/>
    <w:basedOn w:val="Standard"/>
    <w:rsid w:val="00E16E77"/>
    <w:pPr>
      <w:ind w:left="849"/>
    </w:pPr>
  </w:style>
  <w:style w:type="paragraph" w:styleId="Listenfortsetzung4">
    <w:name w:val="List Continue 4"/>
    <w:basedOn w:val="Standard"/>
    <w:rsid w:val="00E16E77"/>
    <w:pPr>
      <w:ind w:left="1132"/>
    </w:pPr>
  </w:style>
  <w:style w:type="paragraph" w:styleId="Listenfortsetzung5">
    <w:name w:val="List Continue 5"/>
    <w:basedOn w:val="Standard"/>
    <w:rsid w:val="00E16E77"/>
    <w:pPr>
      <w:ind w:left="1415"/>
    </w:pPr>
  </w:style>
  <w:style w:type="paragraph" w:styleId="Listennummer">
    <w:name w:val="List Number"/>
    <w:basedOn w:val="Standard"/>
    <w:rsid w:val="00E16E77"/>
    <w:pPr>
      <w:tabs>
        <w:tab w:val="num" w:pos="360"/>
      </w:tabs>
      <w:ind w:left="360" w:hanging="360"/>
    </w:pPr>
  </w:style>
  <w:style w:type="paragraph" w:styleId="Listennummer2">
    <w:name w:val="List Number 2"/>
    <w:basedOn w:val="Standard"/>
    <w:rsid w:val="00E16E77"/>
    <w:pPr>
      <w:tabs>
        <w:tab w:val="num" w:pos="643"/>
      </w:tabs>
      <w:ind w:left="643" w:hanging="360"/>
    </w:pPr>
  </w:style>
  <w:style w:type="paragraph" w:styleId="Listennummer3">
    <w:name w:val="List Number 3"/>
    <w:basedOn w:val="Standard"/>
    <w:rsid w:val="00E16E77"/>
    <w:pPr>
      <w:tabs>
        <w:tab w:val="num" w:pos="926"/>
      </w:tabs>
      <w:ind w:left="926" w:hanging="360"/>
    </w:pPr>
  </w:style>
  <w:style w:type="paragraph" w:styleId="Listennummer4">
    <w:name w:val="List Number 4"/>
    <w:basedOn w:val="Standard"/>
    <w:rsid w:val="00E16E77"/>
    <w:pPr>
      <w:tabs>
        <w:tab w:val="num" w:pos="1209"/>
      </w:tabs>
      <w:ind w:left="1209" w:hanging="360"/>
    </w:pPr>
  </w:style>
  <w:style w:type="paragraph" w:styleId="Listennummer5">
    <w:name w:val="List Number 5"/>
    <w:basedOn w:val="Standard"/>
    <w:rsid w:val="00E16E77"/>
    <w:pPr>
      <w:tabs>
        <w:tab w:val="num" w:pos="1492"/>
      </w:tabs>
      <w:ind w:left="1492" w:hanging="360"/>
    </w:pPr>
  </w:style>
  <w:style w:type="paragraph" w:styleId="Makrotext">
    <w:name w:val="macro"/>
    <w:link w:val="MakrotextZchn"/>
    <w:semiHidden/>
    <w:rsid w:val="00E16E77"/>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noProof/>
      <w:color w:val="000000"/>
    </w:rPr>
  </w:style>
  <w:style w:type="character" w:customStyle="1" w:styleId="MakrotextZchn">
    <w:name w:val="Makrotext Zchn"/>
    <w:basedOn w:val="Absatz-Standardschriftart"/>
    <w:link w:val="Makrotext"/>
    <w:semiHidden/>
    <w:locked/>
    <w:rsid w:val="00D035C0"/>
    <w:rPr>
      <w:rFonts w:ascii="Courier New" w:hAnsi="Courier New"/>
      <w:noProof/>
      <w:color w:val="000000"/>
      <w:lang w:val="de-DE" w:eastAsia="de-DE" w:bidi="ar-SA"/>
    </w:rPr>
  </w:style>
  <w:style w:type="paragraph" w:styleId="Nachrichtenkopf">
    <w:name w:val="Message Header"/>
    <w:basedOn w:val="Standard"/>
    <w:link w:val="NachrichtenkopfZchn"/>
    <w:rsid w:val="00E16E77"/>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basedOn w:val="Absatz-Standardschriftart"/>
    <w:link w:val="Nachrichtenkopf"/>
    <w:semiHidden/>
    <w:locked/>
    <w:rsid w:val="00D035C0"/>
    <w:rPr>
      <w:rFonts w:ascii="Cambria" w:hAnsi="Cambria" w:cs="Times New Roman"/>
      <w:noProof/>
      <w:color w:val="000000"/>
      <w:sz w:val="24"/>
      <w:szCs w:val="24"/>
      <w:shd w:val="pct20" w:color="auto" w:fill="auto"/>
    </w:rPr>
  </w:style>
  <w:style w:type="paragraph" w:customStyle="1" w:styleId="NurText1">
    <w:name w:val="Nur Text1"/>
    <w:basedOn w:val="Standard"/>
    <w:rsid w:val="00E16E77"/>
    <w:rPr>
      <w:rFonts w:ascii="Courier New" w:hAnsi="Courier New"/>
    </w:rPr>
  </w:style>
  <w:style w:type="paragraph" w:styleId="Standardeinzug">
    <w:name w:val="Normal Indent"/>
    <w:basedOn w:val="Standard"/>
    <w:rsid w:val="00E16E77"/>
    <w:pPr>
      <w:ind w:left="708"/>
    </w:pPr>
  </w:style>
  <w:style w:type="paragraph" w:styleId="Textkrper">
    <w:name w:val="Body Text"/>
    <w:basedOn w:val="Standard"/>
    <w:link w:val="TextkrperZchn"/>
    <w:rsid w:val="00E16E77"/>
  </w:style>
  <w:style w:type="character" w:customStyle="1" w:styleId="TextkrperZchn">
    <w:name w:val="Textkörper Zchn"/>
    <w:basedOn w:val="Absatz-Standardschriftart"/>
    <w:link w:val="Textkrper"/>
    <w:semiHidden/>
    <w:locked/>
    <w:rsid w:val="00D035C0"/>
    <w:rPr>
      <w:rFonts w:ascii="Arial" w:hAnsi="Arial" w:cs="Times New Roman"/>
      <w:noProof/>
      <w:color w:val="000000"/>
      <w:sz w:val="20"/>
      <w:szCs w:val="20"/>
    </w:rPr>
  </w:style>
  <w:style w:type="paragraph" w:customStyle="1" w:styleId="Textkrper21">
    <w:name w:val="Textkörper 21"/>
    <w:basedOn w:val="Standard"/>
    <w:rsid w:val="00E16E77"/>
    <w:pPr>
      <w:spacing w:line="480" w:lineRule="auto"/>
    </w:pPr>
  </w:style>
  <w:style w:type="paragraph" w:customStyle="1" w:styleId="Textkrper31">
    <w:name w:val="Textkörper 31"/>
    <w:basedOn w:val="Standard"/>
    <w:rsid w:val="00E16E77"/>
    <w:rPr>
      <w:sz w:val="16"/>
    </w:rPr>
  </w:style>
  <w:style w:type="paragraph" w:customStyle="1" w:styleId="Textkrper22">
    <w:name w:val="Textkörper 22"/>
    <w:basedOn w:val="Standard"/>
    <w:rsid w:val="00E16E77"/>
    <w:pPr>
      <w:ind w:left="283"/>
    </w:pPr>
  </w:style>
  <w:style w:type="paragraph" w:customStyle="1" w:styleId="Textkrper-Einzug21">
    <w:name w:val="Textkörper-Einzug 21"/>
    <w:basedOn w:val="Standard"/>
    <w:rsid w:val="00E16E77"/>
    <w:pPr>
      <w:spacing w:line="480" w:lineRule="auto"/>
      <w:ind w:left="283"/>
    </w:pPr>
  </w:style>
  <w:style w:type="paragraph" w:customStyle="1" w:styleId="Textkrper-Einzug31">
    <w:name w:val="Textkörper-Einzug 31"/>
    <w:basedOn w:val="Standard"/>
    <w:rsid w:val="00E16E77"/>
    <w:pPr>
      <w:ind w:left="283"/>
    </w:pPr>
    <w:rPr>
      <w:sz w:val="16"/>
    </w:rPr>
  </w:style>
  <w:style w:type="paragraph" w:customStyle="1" w:styleId="Textkrper-Erstzeileneinzug1">
    <w:name w:val="Textkörper-Erstzeileneinzug1"/>
    <w:basedOn w:val="Textkrper"/>
    <w:rsid w:val="00E16E77"/>
    <w:pPr>
      <w:ind w:firstLine="210"/>
    </w:pPr>
  </w:style>
  <w:style w:type="paragraph" w:customStyle="1" w:styleId="Textkrper-Erstzeileneinzug21">
    <w:name w:val="Textkörper-Erstzeileneinzug 21"/>
    <w:basedOn w:val="Textkrper22"/>
    <w:rsid w:val="00E16E77"/>
    <w:pPr>
      <w:ind w:firstLine="210"/>
    </w:pPr>
  </w:style>
  <w:style w:type="paragraph" w:styleId="Titel">
    <w:name w:val="Title"/>
    <w:basedOn w:val="Standard"/>
    <w:link w:val="TitelZchn"/>
    <w:qFormat/>
    <w:rsid w:val="00E16E77"/>
    <w:pPr>
      <w:spacing w:before="240" w:after="60"/>
      <w:jc w:val="center"/>
    </w:pPr>
    <w:rPr>
      <w:b/>
      <w:kern w:val="28"/>
      <w:sz w:val="32"/>
    </w:rPr>
  </w:style>
  <w:style w:type="character" w:customStyle="1" w:styleId="TitelZchn">
    <w:name w:val="Titel Zchn"/>
    <w:basedOn w:val="Absatz-Standardschriftart"/>
    <w:link w:val="Titel"/>
    <w:locked/>
    <w:rsid w:val="00D035C0"/>
    <w:rPr>
      <w:rFonts w:ascii="Cambria" w:hAnsi="Cambria" w:cs="Times New Roman"/>
      <w:b/>
      <w:bCs/>
      <w:noProof/>
      <w:color w:val="000000"/>
      <w:kern w:val="28"/>
      <w:sz w:val="32"/>
      <w:szCs w:val="32"/>
    </w:rPr>
  </w:style>
  <w:style w:type="paragraph" w:styleId="Umschlagadresse">
    <w:name w:val="envelope address"/>
    <w:basedOn w:val="Standard"/>
    <w:rsid w:val="00E16E77"/>
    <w:pPr>
      <w:framePr w:w="4320" w:h="2160" w:hRule="exact" w:hSpace="141" w:wrap="auto" w:hAnchor="page" w:xAlign="center" w:yAlign="bottom"/>
      <w:ind w:left="1"/>
    </w:pPr>
    <w:rPr>
      <w:sz w:val="24"/>
    </w:rPr>
  </w:style>
  <w:style w:type="paragraph" w:styleId="Unterschrift">
    <w:name w:val="Signature"/>
    <w:basedOn w:val="Standard"/>
    <w:link w:val="UnterschriftZchn"/>
    <w:rsid w:val="00E16E77"/>
    <w:pPr>
      <w:ind w:left="4252"/>
    </w:pPr>
  </w:style>
  <w:style w:type="character" w:customStyle="1" w:styleId="UnterschriftZchn">
    <w:name w:val="Unterschrift Zchn"/>
    <w:basedOn w:val="Absatz-Standardschriftart"/>
    <w:link w:val="Unterschrift"/>
    <w:semiHidden/>
    <w:locked/>
    <w:rsid w:val="00D035C0"/>
    <w:rPr>
      <w:rFonts w:ascii="Arial" w:hAnsi="Arial" w:cs="Times New Roman"/>
      <w:noProof/>
      <w:color w:val="000000"/>
      <w:sz w:val="20"/>
      <w:szCs w:val="20"/>
    </w:rPr>
  </w:style>
  <w:style w:type="paragraph" w:styleId="Untertitel">
    <w:name w:val="Subtitle"/>
    <w:basedOn w:val="Standard"/>
    <w:link w:val="UntertitelZchn"/>
    <w:qFormat/>
    <w:rsid w:val="00E16E77"/>
    <w:pPr>
      <w:spacing w:after="60"/>
      <w:jc w:val="center"/>
    </w:pPr>
    <w:rPr>
      <w:sz w:val="24"/>
    </w:rPr>
  </w:style>
  <w:style w:type="character" w:customStyle="1" w:styleId="UntertitelZchn">
    <w:name w:val="Untertitel Zchn"/>
    <w:basedOn w:val="Absatz-Standardschriftart"/>
    <w:link w:val="Untertitel"/>
    <w:locked/>
    <w:rsid w:val="00D035C0"/>
    <w:rPr>
      <w:rFonts w:ascii="Cambria" w:hAnsi="Cambria" w:cs="Times New Roman"/>
      <w:noProof/>
      <w:color w:val="000000"/>
      <w:sz w:val="24"/>
      <w:szCs w:val="24"/>
    </w:rPr>
  </w:style>
  <w:style w:type="paragraph" w:styleId="Verzeichnis1">
    <w:name w:val="toc 1"/>
    <w:basedOn w:val="Standard"/>
    <w:next w:val="Standard"/>
    <w:semiHidden/>
    <w:rsid w:val="00E16E77"/>
  </w:style>
  <w:style w:type="paragraph" w:styleId="Verzeichnis2">
    <w:name w:val="toc 2"/>
    <w:basedOn w:val="Standard"/>
    <w:next w:val="Standard"/>
    <w:semiHidden/>
    <w:rsid w:val="00E16E77"/>
    <w:pPr>
      <w:ind w:left="200"/>
    </w:pPr>
  </w:style>
  <w:style w:type="paragraph" w:styleId="Verzeichnis3">
    <w:name w:val="toc 3"/>
    <w:basedOn w:val="Standard"/>
    <w:next w:val="Standard"/>
    <w:semiHidden/>
    <w:rsid w:val="00E16E77"/>
    <w:pPr>
      <w:ind w:left="400"/>
    </w:pPr>
  </w:style>
  <w:style w:type="paragraph" w:styleId="Verzeichnis4">
    <w:name w:val="toc 4"/>
    <w:basedOn w:val="Standard"/>
    <w:next w:val="Standard"/>
    <w:semiHidden/>
    <w:rsid w:val="00E16E77"/>
    <w:pPr>
      <w:ind w:left="600"/>
    </w:pPr>
  </w:style>
  <w:style w:type="paragraph" w:styleId="Verzeichnis5">
    <w:name w:val="toc 5"/>
    <w:basedOn w:val="Standard"/>
    <w:next w:val="Standard"/>
    <w:semiHidden/>
    <w:rsid w:val="00E16E77"/>
    <w:pPr>
      <w:ind w:left="800"/>
    </w:pPr>
  </w:style>
  <w:style w:type="paragraph" w:styleId="Verzeichnis6">
    <w:name w:val="toc 6"/>
    <w:basedOn w:val="Standard"/>
    <w:next w:val="Standard"/>
    <w:semiHidden/>
    <w:rsid w:val="00E16E77"/>
    <w:pPr>
      <w:ind w:left="1000"/>
    </w:pPr>
  </w:style>
  <w:style w:type="paragraph" w:styleId="Verzeichnis7">
    <w:name w:val="toc 7"/>
    <w:basedOn w:val="Standard"/>
    <w:next w:val="Standard"/>
    <w:semiHidden/>
    <w:rsid w:val="00E16E77"/>
    <w:pPr>
      <w:ind w:left="1200"/>
    </w:pPr>
  </w:style>
  <w:style w:type="paragraph" w:styleId="Verzeichnis8">
    <w:name w:val="toc 8"/>
    <w:basedOn w:val="Standard"/>
    <w:next w:val="Standard"/>
    <w:semiHidden/>
    <w:rsid w:val="00E16E77"/>
    <w:pPr>
      <w:ind w:left="1400"/>
    </w:pPr>
  </w:style>
  <w:style w:type="paragraph" w:styleId="Verzeichnis9">
    <w:name w:val="toc 9"/>
    <w:basedOn w:val="Standard"/>
    <w:next w:val="Standard"/>
    <w:semiHidden/>
    <w:rsid w:val="00E16E77"/>
    <w:pPr>
      <w:ind w:left="1600"/>
    </w:pPr>
  </w:style>
  <w:style w:type="paragraph" w:styleId="RGV-berschrift">
    <w:name w:val="toa heading"/>
    <w:basedOn w:val="Standard"/>
    <w:next w:val="Standard"/>
    <w:semiHidden/>
    <w:rsid w:val="00E16E77"/>
    <w:pPr>
      <w:spacing w:before="120"/>
    </w:pPr>
    <w:rPr>
      <w:b/>
      <w:sz w:val="24"/>
    </w:rPr>
  </w:style>
  <w:style w:type="paragraph" w:styleId="Rechtsgrundlagenverzeichnis">
    <w:name w:val="table of authorities"/>
    <w:basedOn w:val="Standard"/>
    <w:next w:val="Standard"/>
    <w:semiHidden/>
    <w:rsid w:val="00E16E77"/>
    <w:pPr>
      <w:ind w:left="200" w:hanging="200"/>
    </w:pPr>
  </w:style>
  <w:style w:type="character" w:styleId="Hyperlink">
    <w:name w:val="Hyperlink"/>
    <w:basedOn w:val="Absatz-Standardschriftart"/>
    <w:rsid w:val="00E16E77"/>
    <w:rPr>
      <w:rFonts w:cs="Times New Roman"/>
      <w:color w:val="0000FF"/>
      <w:u w:val="single"/>
    </w:rPr>
  </w:style>
  <w:style w:type="character" w:customStyle="1" w:styleId="Max">
    <w:name w:val="Max."/>
    <w:rsid w:val="00E16E77"/>
    <w:rPr>
      <w:b/>
    </w:rPr>
  </w:style>
  <w:style w:type="character" w:styleId="BesuchterLink">
    <w:name w:val="FollowedHyperlink"/>
    <w:basedOn w:val="Absatz-Standardschriftart"/>
    <w:rsid w:val="00E16E77"/>
    <w:rPr>
      <w:rFonts w:cs="Times New Roman"/>
      <w:color w:val="800080"/>
      <w:u w:val="single"/>
    </w:rPr>
  </w:style>
  <w:style w:type="paragraph" w:styleId="StandardWeb">
    <w:name w:val="Normal (Web)"/>
    <w:basedOn w:val="Standard"/>
    <w:rsid w:val="00E16E77"/>
    <w:pPr>
      <w:spacing w:before="100" w:beforeAutospacing="1" w:after="100" w:afterAutospacing="1"/>
      <w:jc w:val="left"/>
    </w:pPr>
    <w:rPr>
      <w:rFonts w:ascii="Arial Unicode MS" w:eastAsia="Arial Unicode MS" w:hAnsi="Arial Unicode MS" w:cs="Arial Unicode MS"/>
      <w:noProof w:val="0"/>
      <w:color w:val="auto"/>
      <w:sz w:val="24"/>
      <w:szCs w:val="24"/>
    </w:rPr>
  </w:style>
  <w:style w:type="character" w:styleId="Fett">
    <w:name w:val="Strong"/>
    <w:basedOn w:val="Absatz-Standardschriftart"/>
    <w:qFormat/>
    <w:rsid w:val="00E16E77"/>
    <w:rPr>
      <w:rFonts w:cs="Times New Roman"/>
      <w:b/>
      <w:bCs/>
    </w:rPr>
  </w:style>
  <w:style w:type="paragraph" w:customStyle="1" w:styleId="ListParagraph">
    <w:name w:val="List Paragraph"/>
    <w:basedOn w:val="Standard"/>
    <w:rsid w:val="004E1737"/>
    <w:pPr>
      <w:spacing w:after="0"/>
      <w:ind w:left="720"/>
      <w:contextualSpacing/>
    </w:pPr>
    <w:rPr>
      <w:noProof w:val="0"/>
      <w:color w:val="auto"/>
      <w:sz w:val="24"/>
      <w:szCs w:val="24"/>
      <w:lang w:eastAsia="en-US"/>
    </w:rPr>
  </w:style>
  <w:style w:type="paragraph" w:styleId="Sprechblasentext">
    <w:name w:val="Balloon Text"/>
    <w:basedOn w:val="Standard"/>
    <w:link w:val="SprechblasentextZchn"/>
    <w:rsid w:val="00EF3733"/>
    <w:pPr>
      <w:spacing w:after="0"/>
    </w:pPr>
    <w:rPr>
      <w:rFonts w:ascii="Tahoma" w:hAnsi="Tahoma" w:cs="Tahoma"/>
      <w:sz w:val="16"/>
      <w:szCs w:val="16"/>
    </w:rPr>
  </w:style>
  <w:style w:type="character" w:customStyle="1" w:styleId="SprechblasentextZchn">
    <w:name w:val="Sprechblasentext Zchn"/>
    <w:basedOn w:val="Absatz-Standardschriftart"/>
    <w:link w:val="Sprechblasentext"/>
    <w:locked/>
    <w:rsid w:val="00EF3733"/>
    <w:rPr>
      <w:rFonts w:ascii="Tahoma" w:hAnsi="Tahoma" w:cs="Tahoma"/>
      <w:noProof/>
      <w:color w:val="000000"/>
      <w:sz w:val="16"/>
      <w:szCs w:val="16"/>
    </w:rPr>
  </w:style>
  <w:style w:type="character" w:styleId="Kommentarzeichen">
    <w:name w:val="annotation reference"/>
    <w:basedOn w:val="Absatz-Standardschriftart"/>
    <w:semiHidden/>
    <w:rsid w:val="0038018C"/>
    <w:rPr>
      <w:rFonts w:cs="Times New Roman"/>
      <w:sz w:val="16"/>
      <w:szCs w:val="16"/>
    </w:rPr>
  </w:style>
  <w:style w:type="paragraph" w:styleId="Kommentarthema">
    <w:name w:val="annotation subject"/>
    <w:basedOn w:val="Kommentartext"/>
    <w:next w:val="Kommentartext"/>
    <w:link w:val="KommentarthemaZchn"/>
    <w:semiHidden/>
    <w:rsid w:val="0038018C"/>
    <w:rPr>
      <w:b/>
      <w:bCs/>
    </w:rPr>
  </w:style>
  <w:style w:type="character" w:customStyle="1" w:styleId="KommentarthemaZchn">
    <w:name w:val="Kommentarthema Zchn"/>
    <w:basedOn w:val="KommentartextZchn"/>
    <w:link w:val="Kommentarthema"/>
    <w:semiHidden/>
    <w:locked/>
    <w:rsid w:val="00D035C0"/>
    <w:rPr>
      <w:rFonts w:ascii="Arial" w:hAnsi="Arial" w:cs="Times New Roman"/>
      <w:b/>
      <w:bCs/>
      <w:noProof/>
      <w:color w:val="000000"/>
      <w:sz w:val="20"/>
      <w:szCs w:val="20"/>
    </w:rPr>
  </w:style>
  <w:style w:type="paragraph" w:customStyle="1" w:styleId="Revision">
    <w:name w:val="Revision"/>
    <w:hidden/>
    <w:semiHidden/>
    <w:rsid w:val="00343657"/>
    <w:rPr>
      <w:rFonts w:ascii="Arial" w:hAnsi="Arial"/>
      <w:noProof/>
      <w:color w:val="000000"/>
    </w:rPr>
  </w:style>
  <w:style w:type="table" w:styleId="Tabellenraster">
    <w:name w:val="Table Grid"/>
    <w:basedOn w:val="NormaleTabelle"/>
    <w:rsid w:val="00116EA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KopfZchn">
    <w:name w:val="Li_Kopf Zchn"/>
    <w:basedOn w:val="Absatz-Standardschriftart"/>
    <w:link w:val="LiKopf"/>
    <w:rsid w:val="00891840"/>
    <w:rPr>
      <w:rFonts w:ascii="Arial" w:hAnsi="Arial"/>
      <w:b/>
      <w:lang w:val="de-DE" w:eastAsia="de-DE" w:bidi="ar-SA"/>
    </w:rPr>
  </w:style>
  <w:style w:type="character" w:customStyle="1" w:styleId="LiKoerperZchn">
    <w:name w:val="Li_Koerper Zchn"/>
    <w:basedOn w:val="LiKopfZchn"/>
    <w:link w:val="LiKoerper"/>
    <w:rsid w:val="00891840"/>
    <w:rPr>
      <w:rFonts w:ascii="Arial" w:hAnsi="Arial"/>
      <w:b/>
      <w:lang w:val="de-DE" w:eastAsia="de-DE" w:bidi="ar-SA"/>
    </w:rPr>
  </w:style>
  <w:style w:type="character" w:styleId="HTMLAkronym">
    <w:name w:val="HTML Acronym"/>
    <w:basedOn w:val="Absatz-Standardschriftart"/>
    <w:locked/>
    <w:rsid w:val="00BD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248850628">
      <w:bodyDiv w:val="1"/>
      <w:marLeft w:val="0"/>
      <w:marRight w:val="0"/>
      <w:marTop w:val="0"/>
      <w:marBottom w:val="0"/>
      <w:divBdr>
        <w:top w:val="none" w:sz="0" w:space="0" w:color="auto"/>
        <w:left w:val="none" w:sz="0" w:space="0" w:color="auto"/>
        <w:bottom w:val="none" w:sz="0" w:space="0" w:color="auto"/>
        <w:right w:val="none" w:sz="0" w:space="0" w:color="auto"/>
      </w:divBdr>
    </w:div>
    <w:div w:id="282274186">
      <w:bodyDiv w:val="1"/>
      <w:marLeft w:val="0"/>
      <w:marRight w:val="0"/>
      <w:marTop w:val="0"/>
      <w:marBottom w:val="0"/>
      <w:divBdr>
        <w:top w:val="none" w:sz="0" w:space="0" w:color="auto"/>
        <w:left w:val="none" w:sz="0" w:space="0" w:color="auto"/>
        <w:bottom w:val="none" w:sz="0" w:space="0" w:color="auto"/>
        <w:right w:val="none" w:sz="0" w:space="0" w:color="auto"/>
      </w:divBdr>
    </w:div>
    <w:div w:id="388841419">
      <w:bodyDiv w:val="1"/>
      <w:marLeft w:val="0"/>
      <w:marRight w:val="0"/>
      <w:marTop w:val="0"/>
      <w:marBottom w:val="0"/>
      <w:divBdr>
        <w:top w:val="none" w:sz="0" w:space="0" w:color="auto"/>
        <w:left w:val="none" w:sz="0" w:space="0" w:color="auto"/>
        <w:bottom w:val="none" w:sz="0" w:space="0" w:color="auto"/>
        <w:right w:val="none" w:sz="0" w:space="0" w:color="auto"/>
      </w:divBdr>
    </w:div>
    <w:div w:id="398986554">
      <w:bodyDiv w:val="1"/>
      <w:marLeft w:val="0"/>
      <w:marRight w:val="0"/>
      <w:marTop w:val="0"/>
      <w:marBottom w:val="0"/>
      <w:divBdr>
        <w:top w:val="none" w:sz="0" w:space="0" w:color="auto"/>
        <w:left w:val="none" w:sz="0" w:space="0" w:color="auto"/>
        <w:bottom w:val="none" w:sz="0" w:space="0" w:color="auto"/>
        <w:right w:val="none" w:sz="0" w:space="0" w:color="auto"/>
      </w:divBdr>
    </w:div>
    <w:div w:id="521549316">
      <w:bodyDiv w:val="1"/>
      <w:marLeft w:val="0"/>
      <w:marRight w:val="0"/>
      <w:marTop w:val="0"/>
      <w:marBottom w:val="0"/>
      <w:divBdr>
        <w:top w:val="none" w:sz="0" w:space="0" w:color="auto"/>
        <w:left w:val="none" w:sz="0" w:space="0" w:color="auto"/>
        <w:bottom w:val="none" w:sz="0" w:space="0" w:color="auto"/>
        <w:right w:val="none" w:sz="0" w:space="0" w:color="auto"/>
      </w:divBdr>
    </w:div>
    <w:div w:id="530731239">
      <w:bodyDiv w:val="1"/>
      <w:marLeft w:val="0"/>
      <w:marRight w:val="0"/>
      <w:marTop w:val="0"/>
      <w:marBottom w:val="0"/>
      <w:divBdr>
        <w:top w:val="none" w:sz="0" w:space="0" w:color="auto"/>
        <w:left w:val="none" w:sz="0" w:space="0" w:color="auto"/>
        <w:bottom w:val="none" w:sz="0" w:space="0" w:color="auto"/>
        <w:right w:val="none" w:sz="0" w:space="0" w:color="auto"/>
      </w:divBdr>
    </w:div>
    <w:div w:id="561671516">
      <w:bodyDiv w:val="1"/>
      <w:marLeft w:val="0"/>
      <w:marRight w:val="0"/>
      <w:marTop w:val="0"/>
      <w:marBottom w:val="0"/>
      <w:divBdr>
        <w:top w:val="none" w:sz="0" w:space="0" w:color="auto"/>
        <w:left w:val="none" w:sz="0" w:space="0" w:color="auto"/>
        <w:bottom w:val="none" w:sz="0" w:space="0" w:color="auto"/>
        <w:right w:val="none" w:sz="0" w:space="0" w:color="auto"/>
      </w:divBdr>
    </w:div>
    <w:div w:id="587151834">
      <w:bodyDiv w:val="1"/>
      <w:marLeft w:val="0"/>
      <w:marRight w:val="0"/>
      <w:marTop w:val="0"/>
      <w:marBottom w:val="0"/>
      <w:divBdr>
        <w:top w:val="none" w:sz="0" w:space="0" w:color="auto"/>
        <w:left w:val="none" w:sz="0" w:space="0" w:color="auto"/>
        <w:bottom w:val="none" w:sz="0" w:space="0" w:color="auto"/>
        <w:right w:val="none" w:sz="0" w:space="0" w:color="auto"/>
      </w:divBdr>
    </w:div>
    <w:div w:id="763957511">
      <w:bodyDiv w:val="1"/>
      <w:marLeft w:val="0"/>
      <w:marRight w:val="0"/>
      <w:marTop w:val="0"/>
      <w:marBottom w:val="0"/>
      <w:divBdr>
        <w:top w:val="none" w:sz="0" w:space="0" w:color="auto"/>
        <w:left w:val="none" w:sz="0" w:space="0" w:color="auto"/>
        <w:bottom w:val="none" w:sz="0" w:space="0" w:color="auto"/>
        <w:right w:val="none" w:sz="0" w:space="0" w:color="auto"/>
      </w:divBdr>
    </w:div>
    <w:div w:id="939602295">
      <w:bodyDiv w:val="1"/>
      <w:marLeft w:val="0"/>
      <w:marRight w:val="0"/>
      <w:marTop w:val="0"/>
      <w:marBottom w:val="0"/>
      <w:divBdr>
        <w:top w:val="none" w:sz="0" w:space="0" w:color="auto"/>
        <w:left w:val="none" w:sz="0" w:space="0" w:color="auto"/>
        <w:bottom w:val="none" w:sz="0" w:space="0" w:color="auto"/>
        <w:right w:val="none" w:sz="0" w:space="0" w:color="auto"/>
      </w:divBdr>
    </w:div>
    <w:div w:id="1233077810">
      <w:bodyDiv w:val="1"/>
      <w:marLeft w:val="0"/>
      <w:marRight w:val="0"/>
      <w:marTop w:val="0"/>
      <w:marBottom w:val="0"/>
      <w:divBdr>
        <w:top w:val="none" w:sz="0" w:space="0" w:color="auto"/>
        <w:left w:val="none" w:sz="0" w:space="0" w:color="auto"/>
        <w:bottom w:val="none" w:sz="0" w:space="0" w:color="auto"/>
        <w:right w:val="none" w:sz="0" w:space="0" w:color="auto"/>
      </w:divBdr>
    </w:div>
    <w:div w:id="1298100719">
      <w:bodyDiv w:val="1"/>
      <w:marLeft w:val="0"/>
      <w:marRight w:val="0"/>
      <w:marTop w:val="0"/>
      <w:marBottom w:val="0"/>
      <w:divBdr>
        <w:top w:val="none" w:sz="0" w:space="0" w:color="auto"/>
        <w:left w:val="none" w:sz="0" w:space="0" w:color="auto"/>
        <w:bottom w:val="none" w:sz="0" w:space="0" w:color="auto"/>
        <w:right w:val="none" w:sz="0" w:space="0" w:color="auto"/>
      </w:divBdr>
    </w:div>
    <w:div w:id="1402631388">
      <w:bodyDiv w:val="1"/>
      <w:marLeft w:val="0"/>
      <w:marRight w:val="0"/>
      <w:marTop w:val="0"/>
      <w:marBottom w:val="0"/>
      <w:divBdr>
        <w:top w:val="none" w:sz="0" w:space="0" w:color="auto"/>
        <w:left w:val="none" w:sz="0" w:space="0" w:color="auto"/>
        <w:bottom w:val="none" w:sz="0" w:space="0" w:color="auto"/>
        <w:right w:val="none" w:sz="0" w:space="0" w:color="auto"/>
      </w:divBdr>
    </w:div>
    <w:div w:id="1575630635">
      <w:bodyDiv w:val="1"/>
      <w:marLeft w:val="0"/>
      <w:marRight w:val="0"/>
      <w:marTop w:val="0"/>
      <w:marBottom w:val="0"/>
      <w:divBdr>
        <w:top w:val="none" w:sz="0" w:space="0" w:color="auto"/>
        <w:left w:val="none" w:sz="0" w:space="0" w:color="auto"/>
        <w:bottom w:val="none" w:sz="0" w:space="0" w:color="auto"/>
        <w:right w:val="none" w:sz="0" w:space="0" w:color="auto"/>
      </w:divBdr>
    </w:div>
    <w:div w:id="1728383338">
      <w:bodyDiv w:val="1"/>
      <w:marLeft w:val="0"/>
      <w:marRight w:val="0"/>
      <w:marTop w:val="0"/>
      <w:marBottom w:val="0"/>
      <w:divBdr>
        <w:top w:val="none" w:sz="0" w:space="0" w:color="auto"/>
        <w:left w:val="none" w:sz="0" w:space="0" w:color="auto"/>
        <w:bottom w:val="none" w:sz="0" w:space="0" w:color="auto"/>
        <w:right w:val="none" w:sz="0" w:space="0" w:color="auto"/>
      </w:divBdr>
    </w:div>
    <w:div w:id="1836451085">
      <w:bodyDiv w:val="1"/>
      <w:marLeft w:val="0"/>
      <w:marRight w:val="0"/>
      <w:marTop w:val="0"/>
      <w:marBottom w:val="0"/>
      <w:divBdr>
        <w:top w:val="none" w:sz="0" w:space="0" w:color="auto"/>
        <w:left w:val="none" w:sz="0" w:space="0" w:color="auto"/>
        <w:bottom w:val="none" w:sz="0" w:space="0" w:color="auto"/>
        <w:right w:val="none" w:sz="0" w:space="0" w:color="auto"/>
      </w:divBdr>
    </w:div>
    <w:div w:id="19204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ndesrecht.juris.de/bundesrecht/baunvo/gesamt.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MSO\Vorlagen\UI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UIS.DOT</Template>
  <TotalTime>0</TotalTime>
  <Pages>7</Pages>
  <Words>1790</Words>
  <Characters>11281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06.09 Städtebauliche Dichte (Ausgabe 2012)</vt:lpstr>
    </vt:vector>
  </TitlesOfParts>
  <Company>SenStadtUm</Company>
  <LinksUpToDate>false</LinksUpToDate>
  <CharactersWithSpaces>13045</CharactersWithSpaces>
  <SharedDoc>false</SharedDoc>
  <HLinks>
    <vt:vector size="6" baseType="variant">
      <vt:variant>
        <vt:i4>1310813</vt:i4>
      </vt:variant>
      <vt:variant>
        <vt:i4>0</vt:i4>
      </vt:variant>
      <vt:variant>
        <vt:i4>0</vt:i4>
      </vt:variant>
      <vt:variant>
        <vt:i4>5</vt:i4>
      </vt:variant>
      <vt:variant>
        <vt:lpwstr>http://bundesrecht.juris.de/bundesrecht/baunvo/gesamt.pdf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06.09 Städtebauliche Dichte (Ausgabe 2012)</dc:title>
  <dc:subject>Umweltatlas Berlin</dc:subject>
  <dc:creator>Senatsverwaltung für Stadtentwicklung und Umwelt Berlin</dc:creator>
  <cp:keywords/>
  <dc:description/>
  <cp:revision>2</cp:revision>
  <cp:lastPrinted>2010-01-19T15:11:00Z</cp:lastPrinted>
  <dcterms:created xsi:type="dcterms:W3CDTF">2020-09-18T10:52:00Z</dcterms:created>
  <dcterms:modified xsi:type="dcterms:W3CDTF">2020-09-18T10:52:00Z</dcterms:modified>
</cp:coreProperties>
</file>