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DE" w:rsidRPr="00505A67" w:rsidRDefault="00C2596D">
      <w:pPr>
        <w:rPr>
          <w:b/>
        </w:rPr>
      </w:pPr>
      <w:bookmarkStart w:id="0" w:name="_GoBack"/>
      <w:r w:rsidRPr="00505A67">
        <w:rPr>
          <w:b/>
        </w:rPr>
        <w:t xml:space="preserve">Anlage zum Gemeinsames Rundschreiben SenStadt V M / </w:t>
      </w:r>
      <w:proofErr w:type="spellStart"/>
      <w:r w:rsidRPr="00505A67">
        <w:rPr>
          <w:b/>
        </w:rPr>
        <w:t>SenWiEnBe</w:t>
      </w:r>
      <w:proofErr w:type="spellEnd"/>
      <w:r w:rsidRPr="00505A67">
        <w:rPr>
          <w:b/>
        </w:rPr>
        <w:t xml:space="preserve"> II D Nr. 04/2023</w:t>
      </w:r>
    </w:p>
    <w:p w:rsidR="00C2596D" w:rsidRPr="00505A67" w:rsidRDefault="00C2596D">
      <w:pPr>
        <w:rPr>
          <w:b/>
        </w:rPr>
      </w:pPr>
      <w:r w:rsidRPr="00505A67">
        <w:rPr>
          <w:b/>
        </w:rPr>
        <w:t>Mustertext Rechtsbehelfsbelehrung</w:t>
      </w:r>
    </w:p>
    <w:bookmarkEnd w:id="0"/>
    <w:p w:rsidR="00C2596D" w:rsidRDefault="00C2596D"/>
    <w:tbl>
      <w:tblPr>
        <w:tblStyle w:val="Tabellenraster"/>
        <w:tblW w:w="9322" w:type="dxa"/>
        <w:tblLook w:val="04A0" w:firstRow="1" w:lastRow="0" w:firstColumn="1" w:lastColumn="0" w:noHBand="0" w:noVBand="1"/>
      </w:tblPr>
      <w:tblGrid>
        <w:gridCol w:w="9322"/>
      </w:tblGrid>
      <w:tr w:rsidR="00C2596D" w:rsidRPr="00D00901" w:rsidTr="00515684">
        <w:tc>
          <w:tcPr>
            <w:tcW w:w="9322" w:type="dxa"/>
          </w:tcPr>
          <w:p w:rsidR="00C2596D" w:rsidRPr="00D00901" w:rsidRDefault="00C2596D" w:rsidP="00515684">
            <w:pPr>
              <w:overflowPunct w:val="0"/>
              <w:autoSpaceDE w:val="0"/>
              <w:autoSpaceDN w:val="0"/>
              <w:adjustRightInd w:val="0"/>
              <w:jc w:val="both"/>
              <w:textAlignment w:val="baseline"/>
              <w:rPr>
                <w:rFonts w:ascii="Berlin Type Office" w:hAnsi="Berlin Type Office"/>
                <w:b/>
                <w:sz w:val="22"/>
                <w:szCs w:val="22"/>
                <w:highlight w:val="yellow"/>
              </w:rPr>
            </w:pPr>
            <w:r w:rsidRPr="00D00901">
              <w:rPr>
                <w:rFonts w:ascii="Berlin Type Office" w:hAnsi="Berlin Type Office"/>
                <w:b/>
                <w:sz w:val="22"/>
                <w:szCs w:val="22"/>
              </w:rPr>
              <w:t>Einlegung von Rechtsbehelfen</w:t>
            </w:r>
            <w:r w:rsidRPr="00D00901">
              <w:rPr>
                <w:rFonts w:ascii="Berlin Type Office" w:hAnsi="Berlin Type Office"/>
                <w:sz w:val="22"/>
                <w:szCs w:val="22"/>
              </w:rPr>
              <w:t xml:space="preserve"> (Eintrag in das Feld „Informationen über die Überprüfungsfristen“ (BT-99))</w:t>
            </w:r>
          </w:p>
          <w:p w:rsidR="00C2596D" w:rsidRPr="00D00901" w:rsidRDefault="00C2596D" w:rsidP="00515684">
            <w:pPr>
              <w:overflowPunct w:val="0"/>
              <w:autoSpaceDE w:val="0"/>
              <w:autoSpaceDN w:val="0"/>
              <w:adjustRightInd w:val="0"/>
              <w:jc w:val="both"/>
              <w:textAlignment w:val="baseline"/>
              <w:rPr>
                <w:rFonts w:ascii="Berlin Type Office" w:hAnsi="Berlin Type Office"/>
                <w:sz w:val="22"/>
                <w:szCs w:val="22"/>
              </w:rPr>
            </w:pPr>
            <w:r w:rsidRPr="00D00901">
              <w:rPr>
                <w:rFonts w:ascii="Berlin Type Office" w:hAnsi="Berlin Type Office"/>
                <w:sz w:val="22"/>
                <w:szCs w:val="22"/>
              </w:rPr>
              <w:t>Genaue Angaben zu den Fristen für die Einlegung von Rechtsbehelfen:</w:t>
            </w:r>
          </w:p>
          <w:p w:rsidR="00C2596D" w:rsidRDefault="00C2596D" w:rsidP="00515684">
            <w:pPr>
              <w:overflowPunct w:val="0"/>
              <w:autoSpaceDE w:val="0"/>
              <w:autoSpaceDN w:val="0"/>
              <w:adjustRightInd w:val="0"/>
              <w:textAlignment w:val="baseline"/>
              <w:rPr>
                <w:rFonts w:ascii="Berlin Type Office" w:hAnsi="Berlin Type Office"/>
                <w:b/>
                <w:i/>
                <w:sz w:val="22"/>
                <w:szCs w:val="22"/>
              </w:rPr>
            </w:pPr>
          </w:p>
          <w:p w:rsidR="00C2596D" w:rsidRPr="00D00901" w:rsidRDefault="00C2596D" w:rsidP="00515684">
            <w:pPr>
              <w:overflowPunct w:val="0"/>
              <w:autoSpaceDE w:val="0"/>
              <w:autoSpaceDN w:val="0"/>
              <w:adjustRightInd w:val="0"/>
              <w:textAlignment w:val="baseline"/>
              <w:rPr>
                <w:rFonts w:ascii="Berlin Type Office" w:hAnsi="Berlin Type Office"/>
                <w:b/>
                <w:i/>
                <w:sz w:val="22"/>
                <w:szCs w:val="22"/>
              </w:rPr>
            </w:pPr>
            <w:r w:rsidRPr="00D00901">
              <w:rPr>
                <w:rFonts w:ascii="Berlin Type Office" w:hAnsi="Berlin Type Office"/>
                <w:b/>
                <w:i/>
                <w:sz w:val="22"/>
                <w:szCs w:val="22"/>
              </w:rPr>
              <w:t>Verstöße gegen Vergabevorschriften, die aufgrund der Bekanntmachung oder in den Vergabeunterlagen erkennbar sind, sind spätestens bis zum Ablauf der Frist zur Bewerbung oder zur Angebotsabgabe gegenüber dem Auftraggeber zu rügen. Im Übrigen sind Verstöße gegen Vergabevorschriften innerhalb einer Frist von zehn Kalendertagen nach Kenntnis gegenüber dem Auftraggeber zu rügen.</w:t>
            </w:r>
          </w:p>
          <w:p w:rsidR="00C2596D" w:rsidRPr="00D00901" w:rsidRDefault="00C2596D" w:rsidP="00515684">
            <w:pPr>
              <w:overflowPunct w:val="0"/>
              <w:autoSpaceDE w:val="0"/>
              <w:autoSpaceDN w:val="0"/>
              <w:adjustRightInd w:val="0"/>
              <w:textAlignment w:val="baseline"/>
              <w:rPr>
                <w:rFonts w:ascii="Berlin Type Office" w:hAnsi="Berlin Type Office"/>
                <w:b/>
                <w:i/>
                <w:sz w:val="22"/>
                <w:szCs w:val="22"/>
              </w:rPr>
            </w:pPr>
            <w:r w:rsidRPr="00D00901">
              <w:rPr>
                <w:rFonts w:ascii="Berlin Type Office" w:hAnsi="Berlin Type Office"/>
                <w:b/>
                <w:i/>
                <w:sz w:val="22"/>
                <w:szCs w:val="22"/>
              </w:rPr>
              <w:t>Ein Nachprüfungsantrag ist innerhalb von 15 Kalendertagen nach Eingang der Mitteilung des Auftraggebers, einer Rüge nicht abhelfen zu wollen, bei der zuständigen Vergabekammer zu stellen (§ 160 Gesetz gegen Wettbewerbsbeschränkungen (GWB)).</w:t>
            </w:r>
          </w:p>
          <w:p w:rsidR="00C2596D" w:rsidRPr="00D00901" w:rsidRDefault="00C2596D" w:rsidP="00515684">
            <w:pPr>
              <w:overflowPunct w:val="0"/>
              <w:autoSpaceDE w:val="0"/>
              <w:autoSpaceDN w:val="0"/>
              <w:adjustRightInd w:val="0"/>
              <w:textAlignment w:val="baseline"/>
              <w:rPr>
                <w:rFonts w:ascii="Berlin Type Office" w:hAnsi="Berlin Type Office"/>
                <w:b/>
                <w:i/>
                <w:sz w:val="22"/>
                <w:szCs w:val="22"/>
              </w:rPr>
            </w:pPr>
            <w:r w:rsidRPr="00D00901">
              <w:rPr>
                <w:rFonts w:ascii="Berlin Type Office" w:hAnsi="Berlin Type Office"/>
                <w:b/>
                <w:i/>
                <w:sz w:val="22"/>
                <w:szCs w:val="22"/>
              </w:rPr>
              <w:t>Die o.a. Fristen gelten nicht, wenn der Auftraggeber gemäß § 135 Absatz 1 Nr. 2 GWB den Auftrag ohne vorherige Veröffentlichung einer Bekanntmachung im Amtsblatt der Europäischen Union vergeben hat, ohne dass dies aufgrund Gesetzes gestattet ist.</w:t>
            </w:r>
          </w:p>
          <w:p w:rsidR="00C2596D" w:rsidRPr="00D00901" w:rsidRDefault="00C2596D" w:rsidP="00515684">
            <w:pPr>
              <w:overflowPunct w:val="0"/>
              <w:autoSpaceDE w:val="0"/>
              <w:autoSpaceDN w:val="0"/>
              <w:adjustRightInd w:val="0"/>
              <w:textAlignment w:val="baseline"/>
              <w:rPr>
                <w:rFonts w:ascii="Berlin Type Office" w:hAnsi="Berlin Type Office"/>
                <w:sz w:val="22"/>
                <w:szCs w:val="22"/>
                <w:highlight w:val="yellow"/>
              </w:rPr>
            </w:pPr>
            <w:r w:rsidRPr="00D00901">
              <w:rPr>
                <w:rFonts w:ascii="Berlin Type Office" w:hAnsi="Berlin Type Office"/>
                <w:b/>
                <w:i/>
                <w:sz w:val="22"/>
                <w:szCs w:val="22"/>
              </w:rPr>
              <w:t>Setzt sich ein Auftraggeber über die Unwirksamkeit eines geschlossenen Vertrages hinweg, indem er die Informations- und Wartepflicht missachtet (§ 134 GWB) oder ohne vorherige Veröffentlichung einer Bekanntmachung im Amtsblatt der Europäischen Union vergeben hat, ohne dass dies aufgrund Gesetzes gestattet ist, kann die Unwirksamkeit nur festgestellt werden, wenn sie im Nachprüfungsverfahren innerhalb von 30 Kalendertagen nach der Information der betroffenen Bieter und Bewerber durch den öffentlichen Auftraggeber über den Abschluss des Vertrags, jedoch nicht später als sechs Monate nach Vertragsschluss geltend gemacht worden ist. Hat der Auftraggeber die Auftragsvergabe im Amtsblatt der Europäischen Union bekannt gemacht, endet die Frist 30 Kalendertage nach Veröffentlichung der Bekanntmachung der Auftragsvergabe im Amtsblatt der Europäischen Union (§ 135 GWB).</w:t>
            </w:r>
          </w:p>
        </w:tc>
      </w:tr>
    </w:tbl>
    <w:p w:rsidR="00C2596D" w:rsidRDefault="00C2596D"/>
    <w:sectPr w:rsidR="00C2596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6D" w:rsidRDefault="00C2596D" w:rsidP="00C2596D">
      <w:pPr>
        <w:spacing w:after="0" w:line="240" w:lineRule="auto"/>
      </w:pPr>
      <w:r>
        <w:separator/>
      </w:r>
    </w:p>
  </w:endnote>
  <w:endnote w:type="continuationSeparator" w:id="0">
    <w:p w:rsidR="00C2596D" w:rsidRDefault="00C2596D" w:rsidP="00C2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6D" w:rsidRDefault="00C2596D" w:rsidP="00C2596D">
      <w:pPr>
        <w:spacing w:after="0" w:line="240" w:lineRule="auto"/>
      </w:pPr>
      <w:r>
        <w:separator/>
      </w:r>
    </w:p>
  </w:footnote>
  <w:footnote w:type="continuationSeparator" w:id="0">
    <w:p w:rsidR="00C2596D" w:rsidRDefault="00C2596D" w:rsidP="00C25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6D"/>
    <w:rsid w:val="003E572F"/>
    <w:rsid w:val="00505A67"/>
    <w:rsid w:val="00895ACB"/>
    <w:rsid w:val="00C25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8051"/>
  <w15:chartTrackingRefBased/>
  <w15:docId w15:val="{E43205B5-41FA-4F8E-82B1-2FC71914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2596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SenSW / SenUVK Berlin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Andrea</dc:creator>
  <cp:keywords/>
  <dc:description/>
  <cp:lastModifiedBy>Fischer, Andrea</cp:lastModifiedBy>
  <cp:revision>2</cp:revision>
  <dcterms:created xsi:type="dcterms:W3CDTF">2023-10-20T06:03:00Z</dcterms:created>
  <dcterms:modified xsi:type="dcterms:W3CDTF">2023-10-20T06:06:00Z</dcterms:modified>
</cp:coreProperties>
</file>