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60" w:rsidRDefault="00115460" w:rsidP="00115460">
      <w:pPr>
        <w:rPr>
          <w:rFonts w:ascii="Berlin Type" w:hAnsi="Berlin Type"/>
          <w:b/>
          <w:sz w:val="24"/>
          <w:szCs w:val="24"/>
        </w:rPr>
      </w:pPr>
    </w:p>
    <w:p w:rsidR="00115460" w:rsidRPr="00FD1B01" w:rsidRDefault="00FD1B01" w:rsidP="00115460">
      <w:pPr>
        <w:rPr>
          <w:rFonts w:ascii="Berlin Type" w:hAnsi="Berlin Type"/>
          <w:b/>
          <w:sz w:val="28"/>
          <w:szCs w:val="28"/>
          <w:u w:val="single"/>
        </w:rPr>
      </w:pPr>
      <w:r w:rsidRPr="00FD1B01">
        <w:rPr>
          <w:rFonts w:ascii="Berlin Type" w:hAnsi="Berlin Type"/>
          <w:b/>
          <w:sz w:val="28"/>
          <w:szCs w:val="28"/>
          <w:u w:val="single"/>
        </w:rPr>
        <w:t>Beschluss Nr. 01/II/2025 des Berliner Teilhabebeirats vom 13.06.2025</w:t>
      </w:r>
    </w:p>
    <w:p w:rsidR="00FD1B01" w:rsidRDefault="00FD1B01" w:rsidP="00115460">
      <w:pPr>
        <w:rPr>
          <w:rFonts w:ascii="Berlin Type" w:hAnsi="Berlin Type"/>
          <w:b/>
          <w:sz w:val="24"/>
          <w:szCs w:val="24"/>
        </w:rPr>
      </w:pPr>
    </w:p>
    <w:p w:rsidR="00FD1B01" w:rsidRPr="00FD1B01" w:rsidRDefault="00FD1B01" w:rsidP="00115460">
      <w:pPr>
        <w:rPr>
          <w:rFonts w:ascii="Berlin Type" w:hAnsi="Berlin Type"/>
          <w:b/>
          <w:sz w:val="28"/>
          <w:szCs w:val="28"/>
        </w:rPr>
      </w:pPr>
      <w:r w:rsidRPr="00FD1B01">
        <w:rPr>
          <w:rFonts w:ascii="Berlin Type" w:hAnsi="Berlin Type"/>
          <w:b/>
          <w:sz w:val="28"/>
          <w:szCs w:val="28"/>
        </w:rPr>
        <w:t xml:space="preserve">Mögliche Abschaffung der Widerspruchsbeiräte mit Inkrafttreten des neuen </w:t>
      </w:r>
      <w:proofErr w:type="spellStart"/>
      <w:r w:rsidRPr="00FD1B01">
        <w:rPr>
          <w:rFonts w:ascii="Berlin Type" w:hAnsi="Berlin Type"/>
          <w:b/>
          <w:sz w:val="28"/>
          <w:szCs w:val="28"/>
        </w:rPr>
        <w:t>Landesorganistionsgesetzes</w:t>
      </w:r>
      <w:proofErr w:type="spellEnd"/>
    </w:p>
    <w:p w:rsidR="00FD1B01" w:rsidRDefault="00FD1B01" w:rsidP="00115460">
      <w:pPr>
        <w:rPr>
          <w:rFonts w:ascii="Berlin Type" w:hAnsi="Berlin Type"/>
          <w:b/>
          <w:sz w:val="24"/>
          <w:szCs w:val="24"/>
        </w:rPr>
      </w:pPr>
    </w:p>
    <w:p w:rsidR="00AF1FE9" w:rsidRPr="00F90352" w:rsidRDefault="00AF1FE9" w:rsidP="00AF1FE9">
      <w:pPr>
        <w:spacing w:line="276" w:lineRule="auto"/>
        <w:rPr>
          <w:rFonts w:ascii="Berlin Type" w:hAnsi="Berlin Type"/>
          <w:b/>
          <w:sz w:val="24"/>
          <w:szCs w:val="24"/>
        </w:rPr>
      </w:pPr>
      <w:r w:rsidRPr="00F90352">
        <w:rPr>
          <w:rFonts w:ascii="Berlin Type" w:hAnsi="Berlin Type"/>
          <w:b/>
          <w:sz w:val="24"/>
          <w:szCs w:val="24"/>
        </w:rPr>
        <w:t>Sachverhalt</w:t>
      </w:r>
      <w:r w:rsidR="00114341" w:rsidRPr="00F90352">
        <w:rPr>
          <w:rFonts w:ascii="Berlin Type" w:hAnsi="Berlin Type"/>
          <w:b/>
          <w:sz w:val="24"/>
          <w:szCs w:val="24"/>
        </w:rPr>
        <w:t>:</w:t>
      </w:r>
    </w:p>
    <w:p w:rsidR="00F90352" w:rsidRDefault="00F90352" w:rsidP="00AF1FE9">
      <w:pPr>
        <w:spacing w:line="276" w:lineRule="auto"/>
        <w:rPr>
          <w:rFonts w:ascii="Berlin Type" w:hAnsi="Berlin Type"/>
          <w:sz w:val="24"/>
          <w:szCs w:val="24"/>
        </w:rPr>
      </w:pPr>
      <w:r w:rsidRPr="00F90352">
        <w:rPr>
          <w:rFonts w:ascii="Berlin Type" w:hAnsi="Berlin Type"/>
          <w:sz w:val="24"/>
          <w:szCs w:val="24"/>
        </w:rPr>
        <w:t>Im Entwurf des neuen Landesorganisationsgesetzes (LOG) sind die Widerspruchsbeiräte nicht explizit aufgeführt.</w:t>
      </w:r>
    </w:p>
    <w:p w:rsidR="00AF1FE9" w:rsidRDefault="00AF1FE9" w:rsidP="00AF1FE9">
      <w:pPr>
        <w:spacing w:line="276" w:lineRule="auto"/>
        <w:rPr>
          <w:rFonts w:ascii="Berlin Type" w:hAnsi="Berlin Type"/>
          <w:sz w:val="24"/>
          <w:szCs w:val="24"/>
        </w:rPr>
      </w:pPr>
    </w:p>
    <w:p w:rsidR="00F90352" w:rsidRPr="00F90352" w:rsidRDefault="00F90352" w:rsidP="00AF1FE9">
      <w:pPr>
        <w:spacing w:line="276" w:lineRule="auto"/>
        <w:rPr>
          <w:rFonts w:ascii="Berlin Type" w:hAnsi="Berlin Type"/>
          <w:b/>
          <w:sz w:val="24"/>
          <w:szCs w:val="24"/>
        </w:rPr>
      </w:pPr>
      <w:r w:rsidRPr="00F90352">
        <w:rPr>
          <w:rFonts w:ascii="Berlin Type" w:hAnsi="Berlin Type"/>
          <w:b/>
          <w:sz w:val="24"/>
          <w:szCs w:val="24"/>
        </w:rPr>
        <w:t>Beschluss:</w:t>
      </w:r>
    </w:p>
    <w:p w:rsidR="00AF1FE9" w:rsidRPr="00AF1FE9" w:rsidRDefault="00AF1FE9" w:rsidP="00AF1FE9">
      <w:pPr>
        <w:spacing w:line="276" w:lineRule="auto"/>
        <w:rPr>
          <w:rFonts w:ascii="Berlin Type" w:hAnsi="Berlin Type"/>
          <w:sz w:val="24"/>
          <w:szCs w:val="24"/>
        </w:rPr>
      </w:pPr>
      <w:r w:rsidRPr="00AF1FE9">
        <w:rPr>
          <w:rFonts w:ascii="Berlin Type" w:hAnsi="Berlin Type"/>
          <w:sz w:val="24"/>
          <w:szCs w:val="24"/>
        </w:rPr>
        <w:t>Der Teilhabebeirat Berlin lehnt eine mögliche Abschaffung der Widerspruchsbeiräte im Zuge des neuen Landesorganisationsgesetzes ab.</w:t>
      </w:r>
    </w:p>
    <w:p w:rsidR="00AF1FE9" w:rsidRPr="00AF1FE9" w:rsidRDefault="00AF1FE9" w:rsidP="00AF1FE9">
      <w:pPr>
        <w:spacing w:line="276" w:lineRule="auto"/>
        <w:rPr>
          <w:rFonts w:ascii="Berlin Type" w:hAnsi="Berlin Type"/>
          <w:sz w:val="24"/>
          <w:szCs w:val="24"/>
        </w:rPr>
      </w:pPr>
      <w:r w:rsidRPr="00AF1FE9">
        <w:rPr>
          <w:rFonts w:ascii="Berlin Type" w:hAnsi="Berlin Type"/>
          <w:sz w:val="24"/>
          <w:szCs w:val="24"/>
        </w:rPr>
        <w:t>Er fordert stattdessen eine Prüfung, wie künftig die W</w:t>
      </w:r>
      <w:r w:rsidR="00F90352">
        <w:rPr>
          <w:rFonts w:ascii="Berlin Type" w:hAnsi="Berlin Type"/>
          <w:sz w:val="24"/>
          <w:szCs w:val="24"/>
        </w:rPr>
        <w:t>i</w:t>
      </w:r>
      <w:r w:rsidRPr="00AF1FE9">
        <w:rPr>
          <w:rFonts w:ascii="Berlin Type" w:hAnsi="Berlin Type"/>
          <w:sz w:val="24"/>
          <w:szCs w:val="24"/>
        </w:rPr>
        <w:t>rkung dieses Gremiums verbessert werden kann.</w:t>
      </w:r>
    </w:p>
    <w:p w:rsidR="00AF1FE9" w:rsidRPr="00AF1FE9" w:rsidRDefault="00AF1FE9" w:rsidP="00115460">
      <w:pPr>
        <w:rPr>
          <w:rFonts w:ascii="Berlin Type" w:hAnsi="Berlin Type"/>
          <w:sz w:val="24"/>
          <w:szCs w:val="24"/>
        </w:rPr>
      </w:pPr>
    </w:p>
    <w:p w:rsidR="00115460" w:rsidRPr="00115460" w:rsidRDefault="00115460" w:rsidP="00115460">
      <w:pPr>
        <w:rPr>
          <w:rFonts w:ascii="Berlin Type" w:hAnsi="Berlin Type"/>
          <w:b/>
          <w:sz w:val="24"/>
          <w:szCs w:val="24"/>
        </w:rPr>
      </w:pPr>
      <w:r w:rsidRPr="00115460">
        <w:rPr>
          <w:rFonts w:ascii="Berlin Type" w:hAnsi="Berlin Type"/>
          <w:b/>
          <w:sz w:val="24"/>
          <w:szCs w:val="24"/>
        </w:rPr>
        <w:t>Begründung:</w:t>
      </w:r>
    </w:p>
    <w:p w:rsidR="00115460" w:rsidRPr="00115460" w:rsidRDefault="00115460" w:rsidP="00115460">
      <w:pPr>
        <w:rPr>
          <w:rFonts w:ascii="Berlin Type" w:hAnsi="Berlin Type"/>
          <w:sz w:val="24"/>
          <w:szCs w:val="24"/>
        </w:rPr>
      </w:pPr>
      <w:bookmarkStart w:id="0" w:name="_GoBack"/>
      <w:r w:rsidRPr="00115460">
        <w:rPr>
          <w:rFonts w:ascii="Berlin Type" w:hAnsi="Berlin Type"/>
          <w:sz w:val="24"/>
          <w:szCs w:val="24"/>
        </w:rPr>
        <w:t xml:space="preserve">Im Zuge der Verwaltungsreform ist der Wegfall der bezirklichen Widerspruchsbeiräte geplant. Die Begründung - fehlende praktische Relevanz - überzeugt den Teilhabebeirat </w:t>
      </w:r>
      <w:bookmarkEnd w:id="0"/>
      <w:r w:rsidRPr="00115460">
        <w:rPr>
          <w:rFonts w:ascii="Berlin Type" w:hAnsi="Berlin Type"/>
          <w:sz w:val="24"/>
          <w:szCs w:val="24"/>
        </w:rPr>
        <w:t>nicht. Der Teilhabebeirat sieht darin stattdessen den Wegfall von Partizipation und eine Abkehr vom Geist des BTHG.</w:t>
      </w:r>
    </w:p>
    <w:p w:rsidR="00115460" w:rsidRPr="00115460" w:rsidRDefault="00115460" w:rsidP="00115460">
      <w:pPr>
        <w:rPr>
          <w:rFonts w:ascii="Berlin Type" w:hAnsi="Berlin Type"/>
          <w:sz w:val="24"/>
          <w:szCs w:val="24"/>
        </w:rPr>
      </w:pPr>
      <w:r w:rsidRPr="00115460">
        <w:rPr>
          <w:rFonts w:ascii="Berlin Type" w:hAnsi="Berlin Type"/>
          <w:sz w:val="24"/>
          <w:szCs w:val="24"/>
        </w:rPr>
        <w:t>Er sieht eine gebotene Lösung angesichts möglicher Probleme der Widerspruchsbeiräte nicht in deren Wegfall, sondern in deren Stärkung und erwartet eine entsprechende Prüfung durch die Verantwortlichen.</w:t>
      </w:r>
    </w:p>
    <w:p w:rsidR="00633167" w:rsidRPr="00115460" w:rsidRDefault="00633167" w:rsidP="00CF5A45">
      <w:pPr>
        <w:rPr>
          <w:rFonts w:ascii="Berlin Type" w:hAnsi="Berlin Type"/>
          <w:sz w:val="24"/>
          <w:szCs w:val="24"/>
        </w:rPr>
      </w:pPr>
    </w:p>
    <w:sectPr w:rsidR="00633167" w:rsidRPr="0011546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E9" w:rsidRDefault="00AF1FE9" w:rsidP="00115460">
      <w:pPr>
        <w:spacing w:before="0" w:line="240" w:lineRule="auto"/>
      </w:pPr>
      <w:r>
        <w:separator/>
      </w:r>
    </w:p>
  </w:endnote>
  <w:endnote w:type="continuationSeparator" w:id="0">
    <w:p w:rsidR="00AF1FE9" w:rsidRDefault="00AF1FE9" w:rsidP="001154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E9" w:rsidRDefault="00AF1FE9" w:rsidP="00115460">
      <w:pPr>
        <w:spacing w:before="0" w:line="240" w:lineRule="auto"/>
      </w:pPr>
      <w:r>
        <w:separator/>
      </w:r>
    </w:p>
  </w:footnote>
  <w:footnote w:type="continuationSeparator" w:id="0">
    <w:p w:rsidR="00AF1FE9" w:rsidRDefault="00AF1FE9" w:rsidP="001154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E9" w:rsidRDefault="00AF1FE9" w:rsidP="00115460">
    <w:pPr>
      <w:pStyle w:val="Kopfzeile"/>
    </w:pPr>
    <w:r>
      <w:t>Senatsverwaltung für, Arbeit und Soziales, Gleichstellung, Integration, Vielfalt und</w:t>
    </w:r>
  </w:p>
  <w:p w:rsidR="00AF1FE9" w:rsidRDefault="00AF1FE9" w:rsidP="00115460">
    <w:pPr>
      <w:pStyle w:val="Kopfzeile"/>
    </w:pPr>
    <w:r>
      <w:t>Antidiskriminierung</w:t>
    </w:r>
  </w:p>
  <w:p w:rsidR="00AF1FE9" w:rsidRDefault="00AF1FE9" w:rsidP="00115460">
    <w:pPr>
      <w:pStyle w:val="Kopfzeile"/>
    </w:pPr>
    <w:r>
      <w:t>Geschäftsstelle des Teilhabebeirats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97CE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D9C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7B44ED"/>
    <w:multiLevelType w:val="multilevel"/>
    <w:tmpl w:val="2A34922C"/>
    <w:styleLink w:val="Listebarrierefreieingerckt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3" w15:restartNumberingAfterBreak="0">
    <w:nsid w:val="11871A6E"/>
    <w:multiLevelType w:val="hybridMultilevel"/>
    <w:tmpl w:val="14E62E08"/>
    <w:lvl w:ilvl="0" w:tplc="7AE06DC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6E1C"/>
    <w:multiLevelType w:val="hybridMultilevel"/>
    <w:tmpl w:val="D28CC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978"/>
    <w:multiLevelType w:val="hybridMultilevel"/>
    <w:tmpl w:val="C366BA8E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058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D565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0E6825"/>
    <w:multiLevelType w:val="multilevel"/>
    <w:tmpl w:val="98185C26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9" w15:restartNumberingAfterBreak="0">
    <w:nsid w:val="3CFA1327"/>
    <w:multiLevelType w:val="hybridMultilevel"/>
    <w:tmpl w:val="EE68C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348E9"/>
    <w:multiLevelType w:val="hybridMultilevel"/>
    <w:tmpl w:val="A78C1AAA"/>
    <w:lvl w:ilvl="0" w:tplc="C3842CEE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596E"/>
    <w:multiLevelType w:val="hybridMultilevel"/>
    <w:tmpl w:val="1C44A88A"/>
    <w:lvl w:ilvl="0" w:tplc="E03612C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D1139"/>
    <w:multiLevelType w:val="hybridMultilevel"/>
    <w:tmpl w:val="F6CA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C73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0298C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0CA7AA6"/>
    <w:multiLevelType w:val="hybridMultilevel"/>
    <w:tmpl w:val="0EEA8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E0795"/>
    <w:multiLevelType w:val="hybridMultilevel"/>
    <w:tmpl w:val="46405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24031"/>
    <w:multiLevelType w:val="hybridMultilevel"/>
    <w:tmpl w:val="C560AB06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926C5"/>
    <w:multiLevelType w:val="multilevel"/>
    <w:tmpl w:val="A482A430"/>
    <w:styleLink w:val="Listebarrierefrei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3"/>
  </w:num>
  <w:num w:numId="9">
    <w:abstractNumId w:val="16"/>
  </w:num>
  <w:num w:numId="10">
    <w:abstractNumId w:val="11"/>
  </w:num>
  <w:num w:numId="11">
    <w:abstractNumId w:val="10"/>
  </w:num>
  <w:num w:numId="12">
    <w:abstractNumId w:val="5"/>
  </w:num>
  <w:num w:numId="13">
    <w:abstractNumId w:val="17"/>
  </w:num>
  <w:num w:numId="14">
    <w:abstractNumId w:val="15"/>
  </w:num>
  <w:num w:numId="15">
    <w:abstractNumId w:val="9"/>
  </w:num>
  <w:num w:numId="16">
    <w:abstractNumId w:val="4"/>
  </w:num>
  <w:num w:numId="17">
    <w:abstractNumId w:val="8"/>
  </w:num>
  <w:num w:numId="18">
    <w:abstractNumId w:val="8"/>
  </w:num>
  <w:num w:numId="19">
    <w:abstractNumId w:val="2"/>
  </w:num>
  <w:num w:numId="20">
    <w:abstractNumId w:val="18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60"/>
    <w:rsid w:val="000070FA"/>
    <w:rsid w:val="00114341"/>
    <w:rsid w:val="00115460"/>
    <w:rsid w:val="001B56D4"/>
    <w:rsid w:val="00201183"/>
    <w:rsid w:val="002576F8"/>
    <w:rsid w:val="002C0CE4"/>
    <w:rsid w:val="0035436B"/>
    <w:rsid w:val="003640A2"/>
    <w:rsid w:val="003B7AEA"/>
    <w:rsid w:val="00450EB2"/>
    <w:rsid w:val="00473F18"/>
    <w:rsid w:val="004840C1"/>
    <w:rsid w:val="00520732"/>
    <w:rsid w:val="005D5590"/>
    <w:rsid w:val="00633167"/>
    <w:rsid w:val="006B7265"/>
    <w:rsid w:val="00802B91"/>
    <w:rsid w:val="00846B08"/>
    <w:rsid w:val="008D6330"/>
    <w:rsid w:val="008F0BD9"/>
    <w:rsid w:val="008F7698"/>
    <w:rsid w:val="009C2964"/>
    <w:rsid w:val="00AF1FE9"/>
    <w:rsid w:val="00B150D2"/>
    <w:rsid w:val="00B23F3D"/>
    <w:rsid w:val="00B76206"/>
    <w:rsid w:val="00BC68FE"/>
    <w:rsid w:val="00CF5A45"/>
    <w:rsid w:val="00D858C3"/>
    <w:rsid w:val="00DC7E25"/>
    <w:rsid w:val="00E01BAA"/>
    <w:rsid w:val="00E25E9D"/>
    <w:rsid w:val="00E82213"/>
    <w:rsid w:val="00EC666D"/>
    <w:rsid w:val="00EE0593"/>
    <w:rsid w:val="00F240CB"/>
    <w:rsid w:val="00F90352"/>
    <w:rsid w:val="00F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A6DF"/>
  <w15:chartTrackingRefBased/>
  <w15:docId w15:val="{ADE3C6B5-7C15-47A8-9FB3-15240E07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0CE4"/>
    <w:pPr>
      <w:spacing w:before="120"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0CE4"/>
    <w:pPr>
      <w:keepNext/>
      <w:keepLines/>
      <w:spacing w:before="4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0CE4"/>
    <w:pPr>
      <w:keepNext/>
      <w:keepLines/>
      <w:spacing w:before="20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0CE4"/>
    <w:pPr>
      <w:keepNext/>
      <w:keepLines/>
      <w:spacing w:before="20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C0CE4"/>
    <w:pPr>
      <w:keepNext/>
      <w:keepLines/>
      <w:spacing w:before="200" w:line="240" w:lineRule="auto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C0CE4"/>
    <w:pPr>
      <w:keepNext/>
      <w:keepLines/>
      <w:spacing w:before="200" w:line="240" w:lineRule="auto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C0CE4"/>
    <w:pPr>
      <w:keepNext/>
      <w:keepLines/>
      <w:spacing w:before="200" w:line="240" w:lineRule="auto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C0CE4"/>
    <w:pPr>
      <w:keepNext/>
      <w:keepLines/>
      <w:spacing w:before="200" w:line="240" w:lineRule="auto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C0CE4"/>
    <w:pPr>
      <w:keepNext/>
      <w:keepLines/>
      <w:spacing w:before="200" w:line="240" w:lineRule="auto"/>
      <w:outlineLvl w:val="7"/>
    </w:pPr>
    <w:rPr>
      <w:rFonts w:eastAsiaTheme="majorEastAsia" w:cstheme="majorBidi"/>
      <w:i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C0CE4"/>
    <w:pPr>
      <w:keepNext/>
      <w:keepLines/>
      <w:spacing w:before="200" w:line="240" w:lineRule="auto"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satzArial">
    <w:name w:val="Blocksatz Arial"/>
    <w:basedOn w:val="Standard"/>
    <w:qFormat/>
    <w:rsid w:val="006B7265"/>
    <w:pPr>
      <w:jc w:val="both"/>
    </w:pPr>
    <w:rPr>
      <w:rFonts w:cs="Times New Roman"/>
    </w:rPr>
  </w:style>
  <w:style w:type="paragraph" w:styleId="Zitat">
    <w:name w:val="Quote"/>
    <w:basedOn w:val="Standard"/>
    <w:next w:val="Standard"/>
    <w:link w:val="ZitatZchn"/>
    <w:uiPriority w:val="29"/>
    <w:qFormat/>
    <w:rsid w:val="00520732"/>
    <w:pPr>
      <w:spacing w:line="240" w:lineRule="auto"/>
      <w:ind w:left="284" w:right="283"/>
    </w:pPr>
    <w:rPr>
      <w:rFonts w:cs="Times New Roman"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20732"/>
    <w:rPr>
      <w:rFonts w:ascii="Arial" w:hAnsi="Arial" w:cs="Times New Roman"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76F8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76F8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F3D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964"/>
    <w:rPr>
      <w:rFonts w:ascii="Arial" w:eastAsiaTheme="majorEastAsia" w:hAnsi="Arial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23F3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3F3D"/>
    <w:rPr>
      <w:rFonts w:ascii="Arial" w:eastAsiaTheme="majorEastAsia" w:hAnsi="Arial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23F3D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70FA"/>
    <w:rPr>
      <w:rFonts w:ascii="Arial" w:eastAsiaTheme="majorEastAsia" w:hAnsi="Arial" w:cstheme="majorBidi"/>
      <w:i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70FA"/>
    <w:rPr>
      <w:rFonts w:ascii="Arial" w:eastAsiaTheme="majorEastAsia" w:hAnsi="Arial" w:cstheme="majorBidi"/>
      <w:i/>
      <w:iCs/>
      <w:szCs w:val="21"/>
    </w:rPr>
  </w:style>
  <w:style w:type="paragraph" w:customStyle="1" w:styleId="StandardohneAbstnde">
    <w:name w:val="Standard ohne Abstände"/>
    <w:basedOn w:val="Standard"/>
    <w:qFormat/>
    <w:rsid w:val="006B7265"/>
    <w:pPr>
      <w:spacing w:before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840C1"/>
    <w:pPr>
      <w:pBdr>
        <w:bottom w:val="single" w:sz="4" w:space="1" w:color="auto"/>
      </w:pBdr>
      <w:spacing w:before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0C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0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0A2"/>
    <w:rPr>
      <w:rFonts w:ascii="Arial" w:eastAsiaTheme="minorEastAsia" w:hAnsi="Arial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0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0A2"/>
    <w:rPr>
      <w:rFonts w:ascii="Arial" w:hAnsi="Arial"/>
      <w:i/>
      <w:iCs/>
    </w:rPr>
  </w:style>
  <w:style w:type="numbering" w:customStyle="1" w:styleId="Listebarrierefreieingerckt">
    <w:name w:val="Liste_barrierefrei eingerückt"/>
    <w:uiPriority w:val="99"/>
    <w:rsid w:val="00EC666D"/>
    <w:pPr>
      <w:numPr>
        <w:numId w:val="19"/>
      </w:numPr>
    </w:pPr>
  </w:style>
  <w:style w:type="numbering" w:customStyle="1" w:styleId="Listebarrierefrei">
    <w:name w:val="Liste_barrierefrei"/>
    <w:basedOn w:val="Listebarrierefreieingerckt"/>
    <w:uiPriority w:val="99"/>
    <w:rsid w:val="00EC666D"/>
    <w:pPr>
      <w:numPr>
        <w:numId w:val="20"/>
      </w:numPr>
    </w:pPr>
  </w:style>
  <w:style w:type="paragraph" w:styleId="Kopfzeile">
    <w:name w:val="header"/>
    <w:basedOn w:val="Standard"/>
    <w:link w:val="KopfzeileZchn"/>
    <w:uiPriority w:val="99"/>
    <w:unhideWhenUsed/>
    <w:rsid w:val="0011546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546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1546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546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Berlin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Cypra, Susanna</dc:creator>
  <cp:keywords/>
  <dc:description/>
  <cp:lastModifiedBy>Cypra, Susanna</cp:lastModifiedBy>
  <cp:revision>4</cp:revision>
  <dcterms:created xsi:type="dcterms:W3CDTF">2025-06-26T11:44:00Z</dcterms:created>
  <dcterms:modified xsi:type="dcterms:W3CDTF">2025-06-26T11:59:00Z</dcterms:modified>
</cp:coreProperties>
</file>