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tabs>
          <w:tab w:val="right" w:pos="8931"/>
        </w:tabs>
        <w:rPr>
          <w:sz w:val="24"/>
          <w:szCs w:val="24"/>
        </w:rPr>
      </w:pPr>
      <w:r>
        <w:rPr>
          <w:b/>
          <w:noProof/>
          <w:sz w:val="24"/>
          <w:szCs w:val="24"/>
          <w:lang w:eastAsia="de-DE"/>
        </w:rPr>
        <mc:AlternateContent>
          <mc:Choice Requires="wps">
            <w:drawing>
              <wp:anchor distT="0" distB="0" distL="114300" distR="114300" simplePos="0" relativeHeight="251659264" behindDoc="0" locked="1" layoutInCell="1" allowOverlap="1">
                <wp:simplePos x="0" y="0"/>
                <wp:positionH relativeFrom="column">
                  <wp:posOffset>-683895</wp:posOffset>
                </wp:positionH>
                <wp:positionV relativeFrom="page">
                  <wp:posOffset>9485194</wp:posOffset>
                </wp:positionV>
                <wp:extent cx="334800" cy="885600"/>
                <wp:effectExtent l="0" t="0" r="8255"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 cy="885600"/>
                        </a:xfrm>
                        <a:prstGeom prst="rect">
                          <a:avLst/>
                        </a:prstGeom>
                        <a:solidFill>
                          <a:srgbClr val="FFFFFF"/>
                        </a:solidFill>
                        <a:ln w="9525">
                          <a:noFill/>
                          <a:miter lim="800000"/>
                          <a:headEnd/>
                          <a:tailEnd/>
                        </a:ln>
                      </wps:spPr>
                      <wps:txbx>
                        <w:txbxContent>
                          <w:p>
                            <w:pPr>
                              <w:rPr>
                                <w:color w:val="7F7F7F" w:themeColor="text1" w:themeTint="80"/>
                                <w:sz w:val="12"/>
                                <w:szCs w:val="12"/>
                              </w:rPr>
                            </w:pPr>
                            <w:r>
                              <w:rPr>
                                <w:color w:val="7F7F7F" w:themeColor="text1" w:themeTint="80"/>
                                <w:sz w:val="12"/>
                                <w:szCs w:val="12"/>
                              </w:rPr>
                              <w:t>SenFin 101 - 08/2016</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53.85pt;margin-top:746.85pt;width:26.35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" stroked="f">
                <v:textbox style="layout-flow:vertical;mso-layout-flow-alt:bottom-to-top">
                  <w:txbxContent>
                    <w:p>
                      <w:pPr>
                        <w:rPr>
                          <w:color w:val="7F7F7F" w:themeColor="text1" w:themeTint="80"/>
                          <w:sz w:val="12"/>
                          <w:szCs w:val="12"/>
                        </w:rPr>
                      </w:pPr>
                      <w:r>
                        <w:rPr>
                          <w:color w:val="7F7F7F" w:themeColor="text1" w:themeTint="80"/>
                          <w:sz w:val="12"/>
                          <w:szCs w:val="12"/>
                        </w:rPr>
                        <w:t>SenFin 101 - 08/2016</w:t>
                      </w:r>
                    </w:p>
                  </w:txbxContent>
                </v:textbox>
                <w10:wrap anchory="page"/>
                <w10:anchorlock/>
              </v:shape>
            </w:pict>
          </mc:Fallback>
        </mc:AlternateContent>
      </w:r>
      <w:r>
        <w:rPr>
          <w:sz w:val="24"/>
          <w:szCs w:val="24"/>
        </w:rPr>
        <w:t xml:space="preserve">SenFin </w:t>
      </w:r>
      <w:r>
        <w:rPr>
          <w:sz w:val="24"/>
          <w:szCs w:val="24"/>
        </w:rPr>
        <w:fldChar w:fldCharType="begin"/>
      </w:r>
      <w:r>
        <w:rPr>
          <w:sz w:val="24"/>
          <w:szCs w:val="24"/>
        </w:rPr>
        <w:instrText xml:space="preserve"> LINK VISLink @VISLink "Dokument(Federführung)(Stellenzeichen)@4,federfuehrung,60003,0@$%&amp;VIS_D&amp;%$@0000000002296149@E5EE241D-5DD7-B90E-BFFF-BE95FDD03FD0@$%&amp; " \r \a \* CHARFORMAT \* MERGEFORMAT </w:instrText>
      </w:r>
      <w:r>
        <w:rPr>
          <w:sz w:val="24"/>
          <w:szCs w:val="24"/>
        </w:rPr>
        <w:fldChar w:fldCharType="separate"/>
      </w:r>
      <w:r>
        <w:rPr>
          <w:sz w:val="24"/>
          <w:szCs w:val="24"/>
        </w:rPr>
        <w:t>IV D 21</w:t>
      </w:r>
      <w:r>
        <w:rPr>
          <w:sz w:val="24"/>
          <w:szCs w:val="24"/>
        </w:rPr>
        <w:fldChar w:fldCharType="end"/>
      </w:r>
      <w:r>
        <w:rPr>
          <w:sz w:val="24"/>
          <w:szCs w:val="24"/>
        </w:rPr>
        <w:t xml:space="preserve"> - </w:t>
      </w:r>
      <w:r>
        <w:rPr>
          <w:sz w:val="24"/>
          <w:szCs w:val="24"/>
        </w:rPr>
        <w:fldChar w:fldCharType="begin"/>
      </w:r>
      <w:r>
        <w:rPr>
          <w:sz w:val="24"/>
          <w:szCs w:val="24"/>
        </w:rPr>
        <w:instrText xml:space="preserve"> LINK VISLink @VISLink "Dokument(Unser Zeichen)@4,gz,10000,0@$%&amp;VIS_D&amp;%$@0000000002296149@E5EE241D-5DD7-B90E-BFFF-BE95FDD03FD0@$%&amp; " \r \a \* CHARFORMAT \* MERGEFORMAT </w:instrText>
      </w:r>
      <w:r>
        <w:rPr>
          <w:sz w:val="24"/>
          <w:szCs w:val="24"/>
        </w:rPr>
        <w:fldChar w:fldCharType="separate"/>
      </w:r>
      <w:r>
        <w:rPr>
          <w:sz w:val="24"/>
          <w:szCs w:val="24"/>
        </w:rPr>
        <w:t>P 6930-1/2019-5-1</w:t>
      </w:r>
      <w:r>
        <w:rPr>
          <w:sz w:val="24"/>
          <w:szCs w:val="24"/>
        </w:rPr>
        <w:fldChar w:fldCharType="end"/>
      </w:r>
      <w:r>
        <w:rPr>
          <w:sz w:val="24"/>
          <w:szCs w:val="24"/>
        </w:rPr>
        <w:tab/>
        <w:t>21.11.2019</w:t>
      </w:r>
    </w:p>
    <w:p>
      <w:pPr>
        <w:tabs>
          <w:tab w:val="right" w:pos="8640"/>
        </w:tabs>
        <w:rPr>
          <w:sz w:val="24"/>
          <w:szCs w:val="24"/>
        </w:rPr>
      </w:pPr>
      <w:r>
        <w:rPr>
          <w:sz w:val="24"/>
          <w:szCs w:val="24"/>
        </w:rPr>
        <w:t>Referatsleiterin (komm): Frau Winter (App. 9020 3434)</w:t>
      </w:r>
    </w:p>
    <w:p>
      <w:pPr>
        <w:rPr>
          <w:sz w:val="24"/>
          <w:szCs w:val="24"/>
        </w:rPr>
      </w:pPr>
      <w:r>
        <w:rPr>
          <w:sz w:val="24"/>
          <w:szCs w:val="24"/>
        </w:rPr>
        <w:t>Bearbeiter</w:t>
      </w:r>
      <w:sdt>
        <w:sdtPr>
          <w:rPr>
            <w:sz w:val="24"/>
            <w:szCs w:val="24"/>
          </w:rPr>
          <w:alias w:val="Anrede"/>
          <w:tag w:val="Anrede"/>
          <w:id w:val="1508714928"/>
          <w:placeholder>
            <w:docPart w:val="F89E4A0C3E1F4C75AC9415FA58597F2A"/>
          </w:placeholder>
          <w:dropDownList>
            <w:listItem w:value="Wählen Sie ein Element aus."/>
            <w:listItem w:displayText="in: Frau" w:value="in: Frau"/>
            <w:listItem w:displayText=": Herr" w:value=": Herr"/>
            <w:listItem w:displayText="in (V): Frau" w:value="in (V): Frau"/>
            <w:listItem w:displayText=" (V): Herr" w:value=" (V): Herr"/>
          </w:dropDownList>
        </w:sdtPr>
        <w:sdtContent>
          <w:r>
            <w:rPr>
              <w:sz w:val="24"/>
              <w:szCs w:val="24"/>
            </w:rPr>
            <w:t>in: Frau</w:t>
          </w:r>
        </w:sdtContent>
      </w:sdt>
      <w:r>
        <w:rPr>
          <w:sz w:val="24"/>
          <w:szCs w:val="24"/>
        </w:rPr>
        <w:t xml:space="preserve"> </w:t>
      </w:r>
      <w:r>
        <w:rPr>
          <w:sz w:val="24"/>
          <w:szCs w:val="24"/>
        </w:rPr>
        <w:fldChar w:fldCharType="begin"/>
      </w:r>
      <w:r>
        <w:rPr>
          <w:sz w:val="24"/>
          <w:szCs w:val="24"/>
        </w:rPr>
        <w:instrText xml:space="preserve"> LINK VISLink @VISLink "Dokument(Federführung)(Nachname)@4,federfuehrung,60010,0@$%&amp;VIS_D&amp;%$@0000000002296149@E5EE241D-5DD7-B90E-BFFF-BE95FDD03FD0@$%&amp; " \r \a \* CHARFORMAT \* MERGEFORMAT </w:instrText>
      </w:r>
      <w:r>
        <w:rPr>
          <w:sz w:val="24"/>
          <w:szCs w:val="24"/>
        </w:rPr>
        <w:fldChar w:fldCharType="separate"/>
      </w:r>
      <w:r>
        <w:rPr>
          <w:rFonts w:cs="Arial"/>
          <w:sz w:val="24"/>
          <w:szCs w:val="24"/>
        </w:rPr>
        <w:t>Rosenau</w:t>
      </w:r>
      <w:r>
        <w:rPr>
          <w:sz w:val="24"/>
          <w:szCs w:val="24"/>
        </w:rPr>
        <w:fldChar w:fldCharType="end"/>
      </w:r>
      <w:r>
        <w:rPr>
          <w:sz w:val="24"/>
          <w:szCs w:val="24"/>
        </w:rPr>
        <w:t xml:space="preserve"> (App. 9020 2059)</w:t>
      </w:r>
    </w:p>
    <w:p>
      <w:pPr>
        <w:rPr>
          <w:b/>
          <w:sz w:val="24"/>
          <w:szCs w:val="24"/>
        </w:rPr>
      </w:pPr>
    </w:p>
    <w:p>
      <w:pPr>
        <w:jc w:val="center"/>
        <w:rPr>
          <w:b/>
          <w:sz w:val="24"/>
          <w:szCs w:val="24"/>
        </w:rPr>
      </w:pPr>
      <w:bookmarkStart w:id="0" w:name="_GoBack"/>
      <w:bookmarkEnd w:id="0"/>
    </w:p>
    <w:p>
      <w:pPr>
        <w:jc w:val="center"/>
        <w:rPr>
          <w:b/>
          <w:sz w:val="24"/>
          <w:szCs w:val="24"/>
        </w:rPr>
      </w:pPr>
    </w:p>
    <w:p>
      <w:pPr>
        <w:jc w:val="center"/>
        <w:rPr>
          <w:rFonts w:cs="Arial"/>
          <w:b/>
          <w:sz w:val="24"/>
          <w:szCs w:val="24"/>
        </w:rPr>
      </w:pPr>
      <w:r>
        <w:rPr>
          <w:rFonts w:cs="Arial"/>
          <w:b/>
          <w:sz w:val="24"/>
          <w:szCs w:val="24"/>
        </w:rPr>
        <w:t>Ausführungsvorschriften zur Verordnung über die Ausbildung und Prüfung für das zweite Einstiegsamt der Laufbahngruppe 1 der Laufbahnfachrichtung allgemeiner Verwaltungsdienst im Laufbahnzweig nichttechnischer Verwaltungsdienst (AV APOallgVerwD, LfbGr. 1)</w:t>
      </w:r>
    </w:p>
    <w:p>
      <w:pPr>
        <w:jc w:val="center"/>
        <w:rPr>
          <w:rFonts w:cs="Arial"/>
          <w:b/>
          <w:sz w:val="24"/>
          <w:szCs w:val="24"/>
        </w:rPr>
      </w:pPr>
    </w:p>
    <w:p>
      <w:pPr>
        <w:jc w:val="center"/>
        <w:rPr>
          <w:rFonts w:cs="Arial"/>
          <w:b/>
          <w:sz w:val="24"/>
          <w:szCs w:val="24"/>
        </w:rPr>
      </w:pPr>
      <w:r>
        <w:rPr>
          <w:rFonts w:cs="Arial"/>
          <w:b/>
          <w:sz w:val="24"/>
          <w:szCs w:val="24"/>
        </w:rPr>
        <w:t>Vom 21.11.2019</w:t>
      </w:r>
    </w:p>
    <w:p>
      <w:pPr>
        <w:jc w:val="center"/>
        <w:rPr>
          <w:rFonts w:cs="Arial"/>
          <w:b/>
          <w:sz w:val="24"/>
          <w:szCs w:val="24"/>
        </w:rPr>
      </w:pPr>
      <w:r>
        <w:rPr>
          <w:rFonts w:cs="Arial"/>
          <w:b/>
          <w:sz w:val="24"/>
          <w:szCs w:val="24"/>
        </w:rPr>
        <w:t>IV D 21</w:t>
      </w:r>
    </w:p>
    <w:p>
      <w:pPr>
        <w:jc w:val="both"/>
        <w:rPr>
          <w:rFonts w:cs="Arial"/>
          <w:sz w:val="24"/>
          <w:szCs w:val="24"/>
        </w:rPr>
      </w:pPr>
    </w:p>
    <w:p>
      <w:pPr>
        <w:jc w:val="both"/>
        <w:rPr>
          <w:rFonts w:cs="Arial"/>
          <w:sz w:val="24"/>
          <w:szCs w:val="24"/>
        </w:rPr>
      </w:pPr>
      <w:r>
        <w:rPr>
          <w:rFonts w:cs="Arial"/>
          <w:sz w:val="24"/>
          <w:szCs w:val="24"/>
        </w:rPr>
        <w:t>Auf Grund § 29 Absatz 2 Satz 1 i.V.m. § 40 des Laufbahngesetzes (LfbG) vom 21. Juli 2011 (GVBl. S. 266), das zuletzt durch Artikel 4 des Gesetzes vom 19. Dezember 2017 (GVBl. S. 695) geändert worden ist sowie des § 6 Absatz 2 Buchstabe a des Allgemeinen Zuständigkeitsgesetzes (AZG) in der Fassung der Bekanntmachung vom 22. Juli 1996 (GVBl. S. 302, 472), das zuletzt durch das Gesetz vom 25. September 2019 (GVBl. S. 610) geändert worden ist, wird bestimmt:</w:t>
      </w:r>
    </w:p>
    <w:p>
      <w:pPr>
        <w:jc w:val="both"/>
        <w:rPr>
          <w:rFonts w:cs="Arial"/>
          <w:sz w:val="24"/>
          <w:szCs w:val="24"/>
        </w:rPr>
      </w:pPr>
    </w:p>
    <w:p>
      <w:pPr>
        <w:jc w:val="both"/>
        <w:rPr>
          <w:rFonts w:cs="Arial"/>
          <w:b/>
          <w:sz w:val="24"/>
          <w:szCs w:val="24"/>
        </w:rPr>
      </w:pPr>
      <w:r>
        <w:rPr>
          <w:rFonts w:cs="Arial"/>
          <w:b/>
          <w:sz w:val="24"/>
          <w:szCs w:val="24"/>
        </w:rPr>
        <w:t>1 – Förderliche abgeschlossene Berufsausbildung</w:t>
      </w:r>
    </w:p>
    <w:p>
      <w:pPr>
        <w:jc w:val="both"/>
        <w:rPr>
          <w:rFonts w:cs="Arial"/>
          <w:sz w:val="24"/>
          <w:szCs w:val="24"/>
        </w:rPr>
      </w:pPr>
      <w:r>
        <w:rPr>
          <w:rFonts w:cs="Arial"/>
          <w:sz w:val="24"/>
          <w:szCs w:val="24"/>
        </w:rPr>
        <w:t>Förderliche abgeschlossene Berufsausbildungen sind solche, welche nach Art und Umfang einer Ausbildung in einem öffentlich-rechtlichen Ausbildungsverhältnis vergleichbar sind. Anforderung und Tätigkeit müssen eine Vergleichbarkeit zu denen der mittleren Funktionsebene im Bereich der öffentlichen Verwaltung aufweisen.</w:t>
      </w:r>
    </w:p>
    <w:p>
      <w:pPr>
        <w:jc w:val="both"/>
        <w:rPr>
          <w:rFonts w:cs="Arial"/>
          <w:sz w:val="24"/>
          <w:szCs w:val="24"/>
        </w:rPr>
      </w:pPr>
    </w:p>
    <w:p>
      <w:pPr>
        <w:jc w:val="both"/>
        <w:rPr>
          <w:rFonts w:cs="Arial"/>
          <w:sz w:val="24"/>
          <w:szCs w:val="24"/>
        </w:rPr>
      </w:pPr>
    </w:p>
    <w:p>
      <w:pPr>
        <w:jc w:val="both"/>
        <w:rPr>
          <w:rFonts w:cs="Arial"/>
          <w:b/>
          <w:sz w:val="24"/>
          <w:szCs w:val="24"/>
        </w:rPr>
      </w:pPr>
      <w:r>
        <w:rPr>
          <w:rFonts w:cs="Arial"/>
          <w:b/>
          <w:sz w:val="24"/>
          <w:szCs w:val="24"/>
        </w:rPr>
        <w:t>2 – Anerkennung eines gleichwertigen Bildungsstands</w:t>
      </w:r>
    </w:p>
    <w:p>
      <w:pPr>
        <w:jc w:val="both"/>
        <w:rPr>
          <w:rFonts w:cs="Arial"/>
          <w:sz w:val="24"/>
          <w:szCs w:val="24"/>
        </w:rPr>
      </w:pPr>
      <w:r>
        <w:rPr>
          <w:rFonts w:cs="Arial"/>
          <w:sz w:val="24"/>
          <w:szCs w:val="24"/>
        </w:rPr>
        <w:t>Die Entscheidung über den als gleichwertig anerkannten Bildungsstand trifft nach § 35 LfbG die für das Schulwesen zuständige Senatsverwaltung im Einvernehmen mit der für die Ordnung der Laufbahn zuständigen Senatsverwaltung.</w:t>
      </w:r>
    </w:p>
    <w:p>
      <w:pPr>
        <w:jc w:val="both"/>
        <w:rPr>
          <w:rFonts w:cs="Arial"/>
          <w:sz w:val="24"/>
          <w:szCs w:val="24"/>
        </w:rPr>
      </w:pPr>
    </w:p>
    <w:p>
      <w:pPr>
        <w:jc w:val="both"/>
        <w:rPr>
          <w:rFonts w:cs="Arial"/>
          <w:sz w:val="24"/>
          <w:szCs w:val="24"/>
        </w:rPr>
      </w:pPr>
    </w:p>
    <w:p>
      <w:pPr>
        <w:jc w:val="both"/>
        <w:rPr>
          <w:rFonts w:cs="Arial"/>
          <w:b/>
          <w:sz w:val="24"/>
          <w:szCs w:val="24"/>
        </w:rPr>
      </w:pPr>
      <w:r>
        <w:rPr>
          <w:rFonts w:cs="Arial"/>
          <w:b/>
          <w:sz w:val="24"/>
          <w:szCs w:val="24"/>
        </w:rPr>
        <w:t>3 – Eignungsfeststellung</w:t>
      </w:r>
    </w:p>
    <w:p>
      <w:pPr>
        <w:jc w:val="both"/>
        <w:rPr>
          <w:rFonts w:cs="Arial"/>
          <w:sz w:val="24"/>
          <w:szCs w:val="24"/>
        </w:rPr>
      </w:pPr>
      <w:r>
        <w:rPr>
          <w:rFonts w:cs="Arial"/>
          <w:sz w:val="24"/>
          <w:szCs w:val="24"/>
        </w:rPr>
        <w:t xml:space="preserve">(1) Beurteilungsgrundlage für die Eignungsfeststellung sind durch Zeugnisse nachgewiesene Schulleistungen, Befähigungsberichte oder dienstliche Beurteilungen aus Personalakten und die Ergebnisse verschiedener Eignungstests und eines Vorstellungsgesprächs (Eignungsprüfung). Für Bewerberinnen und Bewerber, die als Schülerinnen und Schüler einer Fachoberschule im Fachbereich Verwaltung ein Praktikum bei einer Ausbildungsbehörde (§ 4 APOallgVerwD, LfbGr. 1) ableisten oder abgeleistet haben, kann an die Stelle des Vorstellungsgesprächs eine Auswertung der Beurteilung aus dem Praktikum treten. </w:t>
      </w:r>
    </w:p>
    <w:p>
      <w:pPr>
        <w:jc w:val="both"/>
        <w:rPr>
          <w:rFonts w:cs="Arial"/>
          <w:sz w:val="24"/>
          <w:szCs w:val="24"/>
        </w:rPr>
      </w:pPr>
    </w:p>
    <w:p>
      <w:pPr>
        <w:jc w:val="both"/>
        <w:rPr>
          <w:rFonts w:cs="Arial"/>
          <w:sz w:val="24"/>
          <w:szCs w:val="24"/>
        </w:rPr>
      </w:pPr>
      <w:r>
        <w:rPr>
          <w:rFonts w:cs="Arial"/>
          <w:sz w:val="24"/>
          <w:szCs w:val="24"/>
        </w:rPr>
        <w:t>(2) Entsprechend dem Ergebnis der schriftlichen oder elektronischen Eignungsprüfung sind Vorstellungsgespräche zu führen, von denen bei den Bewerberinnen und Bewerbern abgesehen werden soll, die den Anforderungen der Eignungsprüfung nicht entsprochen haben. Die Zahl der zu den Vorstellungsgesprächen einzuladenden Bewerberinnen und Bewerber soll mindestens das Zweifache der von den einzelnen Behörden beabsichtigten Einstellungen betragen.</w:t>
      </w:r>
    </w:p>
    <w:p>
      <w:pPr>
        <w:jc w:val="both"/>
        <w:rPr>
          <w:rFonts w:cs="Arial"/>
          <w:sz w:val="24"/>
          <w:szCs w:val="24"/>
        </w:rPr>
      </w:pPr>
    </w:p>
    <w:p>
      <w:pPr>
        <w:jc w:val="both"/>
        <w:rPr>
          <w:rFonts w:cs="Arial"/>
          <w:sz w:val="24"/>
          <w:szCs w:val="24"/>
        </w:rPr>
      </w:pPr>
      <w:r>
        <w:rPr>
          <w:rFonts w:cs="Arial"/>
          <w:sz w:val="24"/>
          <w:szCs w:val="24"/>
        </w:rPr>
        <w:lastRenderedPageBreak/>
        <w:t>(3) Vor Beginn des Verfahrens ist von der Bewerberin oder dem Bewerber eine schriftliche oder elektronische Erklärung darüber abzugeben, ob und ggf. wann sie oder er bereits an einer Eignungsprüfung bei einer der in § 4 APOallgVerwD, LfbGr. 1 genannten Ausbildungsbehörden teilgenommen hat. Eine Wiederholung der Eignungsprüfung ist grundsätzlich frühestens nach neun Monaten zulässig.</w:t>
      </w:r>
    </w:p>
    <w:p>
      <w:pPr>
        <w:jc w:val="both"/>
        <w:rPr>
          <w:rFonts w:cs="Arial"/>
          <w:sz w:val="24"/>
          <w:szCs w:val="24"/>
        </w:rPr>
      </w:pPr>
    </w:p>
    <w:p>
      <w:pPr>
        <w:jc w:val="both"/>
        <w:rPr>
          <w:rFonts w:cs="Arial"/>
          <w:sz w:val="24"/>
          <w:szCs w:val="24"/>
        </w:rPr>
      </w:pPr>
      <w:r>
        <w:rPr>
          <w:rFonts w:cs="Arial"/>
          <w:sz w:val="24"/>
          <w:szCs w:val="24"/>
        </w:rPr>
        <w:t>(4) Mit ihrer Einwilligung können geeignete Bewerberinnen und Bewerber, die bei einer Behörde nicht berücksichtigt werden können, einer anderen benannt werden, wenn bei dieser noch freie Ausbildungsplätze vorhanden sind. In solchen Fällen ist auch die Weiterleitung der Bewerbungsunterlagen möglich.</w:t>
      </w:r>
    </w:p>
    <w:p>
      <w:pPr>
        <w:jc w:val="both"/>
        <w:rPr>
          <w:rFonts w:cs="Arial"/>
          <w:sz w:val="24"/>
          <w:szCs w:val="24"/>
        </w:rPr>
      </w:pPr>
    </w:p>
    <w:p>
      <w:pPr>
        <w:jc w:val="both"/>
        <w:rPr>
          <w:rFonts w:cs="Arial"/>
          <w:sz w:val="24"/>
          <w:szCs w:val="24"/>
        </w:rPr>
      </w:pPr>
      <w:r>
        <w:rPr>
          <w:rFonts w:cs="Arial"/>
          <w:sz w:val="24"/>
          <w:szCs w:val="24"/>
        </w:rPr>
        <w:t xml:space="preserve">(5) Unterlagen über die Eignungsprüfung sind vertraulich zu behandeln. Ein Jahr nach dem vorgesehenen Einstellungstermin werden die personenbezogenen Daten gelöscht. Die Ausbildungseinrichtung oder, soweit eine solche benannt ist, die von ihr bestimmte Stelle darf zur Fortentwicklung des Eignungsprüfungsverfahrens die Testergebnisse in anonymisierter Form weitere sieben Jahre verwenden. Nach dieser Frist werden auch diese Daten gelöscht. Nach der Einstellung der Bewerberin oder des Bewerbers sind weder die Aufgaben noch die Leistungsergebnisse in die Personal- bzw. Ausbildungsakte aufzunehmen. </w:t>
      </w:r>
    </w:p>
    <w:p>
      <w:pPr>
        <w:jc w:val="both"/>
        <w:rPr>
          <w:rFonts w:cs="Arial"/>
          <w:sz w:val="24"/>
          <w:szCs w:val="24"/>
        </w:rPr>
      </w:pPr>
    </w:p>
    <w:p>
      <w:pPr>
        <w:jc w:val="both"/>
        <w:rPr>
          <w:rFonts w:cs="Arial"/>
          <w:sz w:val="24"/>
          <w:szCs w:val="24"/>
        </w:rPr>
      </w:pPr>
    </w:p>
    <w:p>
      <w:pPr>
        <w:jc w:val="both"/>
        <w:rPr>
          <w:rFonts w:cs="Arial"/>
          <w:b/>
          <w:sz w:val="24"/>
          <w:szCs w:val="24"/>
        </w:rPr>
      </w:pPr>
      <w:r>
        <w:rPr>
          <w:rFonts w:cs="Arial"/>
          <w:b/>
          <w:sz w:val="24"/>
          <w:szCs w:val="24"/>
        </w:rPr>
        <w:t>4 – Ausbildungsbehörden</w:t>
      </w:r>
    </w:p>
    <w:p>
      <w:pPr>
        <w:jc w:val="both"/>
        <w:rPr>
          <w:rFonts w:cs="Arial"/>
          <w:sz w:val="24"/>
          <w:szCs w:val="24"/>
        </w:rPr>
      </w:pPr>
      <w:r>
        <w:rPr>
          <w:rFonts w:cs="Arial"/>
          <w:sz w:val="24"/>
          <w:szCs w:val="24"/>
        </w:rPr>
        <w:t>(1) Jede Ausbildungsbehörde bestellt eine fachlich und pädagogisch befähigte Dienstkraft zur Ausbildungsleitung. Pädagogische Kenntnisse werden insbesondere durch den Besuch geeigneter Fortbildungsveranstaltungen der Verwaltungsakademie Berlin oder vergleichbarer Einrichtungen erworben. Dienstliche Fortbildungen sind im Regelfall unter Berücksichtigung der dienstlichen Belange zu genehmigen.</w:t>
      </w:r>
    </w:p>
    <w:p>
      <w:pPr>
        <w:jc w:val="both"/>
        <w:rPr>
          <w:rFonts w:cs="Arial"/>
          <w:sz w:val="24"/>
          <w:szCs w:val="24"/>
        </w:rPr>
      </w:pPr>
    </w:p>
    <w:p>
      <w:pPr>
        <w:jc w:val="both"/>
        <w:rPr>
          <w:rFonts w:cs="Arial"/>
          <w:sz w:val="24"/>
          <w:szCs w:val="24"/>
        </w:rPr>
      </w:pPr>
      <w:r>
        <w:rPr>
          <w:rFonts w:cs="Arial"/>
          <w:sz w:val="24"/>
          <w:szCs w:val="24"/>
        </w:rPr>
        <w:t>(2) Aufgabe der Ausbildungsleitung ist es, die berufspraktische Ausbildung zu gestalten, zu leiten und zu überwachen sowie das Fachwissen, die Allgemeinbildung und die Persönlichkeit der Anwärterinnen und Anwärter zu fördern. Die Ausbildungsbehörden bestimmen im Einvernehmen mit der Ausbildungsleitung diejenigen Mitarbeiterinnen und Mitarbeiter, die an der berufspraktischen Ausbildung mitwirken (Praxisanleiterinnen und Praxisanleiter).</w:t>
      </w:r>
    </w:p>
    <w:p>
      <w:pPr>
        <w:jc w:val="both"/>
        <w:rPr>
          <w:rFonts w:cs="Arial"/>
          <w:sz w:val="24"/>
          <w:szCs w:val="24"/>
        </w:rPr>
      </w:pPr>
    </w:p>
    <w:p>
      <w:pPr>
        <w:jc w:val="both"/>
        <w:rPr>
          <w:rFonts w:cs="Arial"/>
          <w:sz w:val="24"/>
          <w:szCs w:val="24"/>
        </w:rPr>
      </w:pPr>
      <w:r>
        <w:rPr>
          <w:rFonts w:cs="Arial"/>
          <w:sz w:val="24"/>
          <w:szCs w:val="24"/>
        </w:rPr>
        <w:t xml:space="preserve">(3) Die Praxisanleiterinnen und Praxisanleiter sind wesentliche Träger der von den Ausbildungsbehörden durchzuführenden berufspraktischen Ausbildung. Ihre Aufgaben während der berufspraktischen Ausbildung ergeben sich insbesondere aus den §§ 9 und 10 APOallgVerwD, LfbGr. 1. Als Praxisanleiterinnen und Praxisanleiter sollen erfahrene, fachlich und pädagogisch geeignete Mitarbeiterinnen und Mitarbeiter herangezogen werden, die für das zweite Einstiegsamt der Laufbahngruppe 1 des nichttechnischen Verwaltungsdienstes repräsentative Arbeitsgebiete wahrnehmen. Sie haben sich entsprechend den Erfordernissen in ihren Ausbildungsfunktionen fortzubilden; Absatz 1 Satz 3 gilt entsprechend. Die Ausbildungsleitung und gegebenenfalls die Ausbildungseinrichtung beraten die Praxisanleiterinnen und Praxisanleiter in ihren Ausbildungsaufgaben. </w:t>
      </w:r>
    </w:p>
    <w:p>
      <w:pPr>
        <w:jc w:val="both"/>
        <w:rPr>
          <w:rFonts w:cs="Arial"/>
          <w:sz w:val="24"/>
          <w:szCs w:val="24"/>
        </w:rPr>
      </w:pPr>
    </w:p>
    <w:p>
      <w:pPr>
        <w:jc w:val="both"/>
        <w:rPr>
          <w:rFonts w:cs="Arial"/>
          <w:sz w:val="24"/>
          <w:szCs w:val="24"/>
        </w:rPr>
      </w:pPr>
      <w:r>
        <w:rPr>
          <w:rFonts w:cs="Arial"/>
          <w:sz w:val="24"/>
          <w:szCs w:val="24"/>
        </w:rPr>
        <w:t xml:space="preserve">(4) Die Ausbildungsbehörden teilen den Praxisanleiterinnen und Praxisanleitern Art und Umfang der von ihnen in dem jeweiligen Ausbildungsabschnitt wahrzunehmenden Aufgaben mit und übertragen diese Aufgaben für jeweils einen berufspraktischen Ausbildungsabschnitt. </w:t>
      </w:r>
    </w:p>
    <w:p>
      <w:pPr>
        <w:jc w:val="both"/>
        <w:rPr>
          <w:rFonts w:cs="Arial"/>
          <w:sz w:val="24"/>
          <w:szCs w:val="24"/>
        </w:rPr>
      </w:pPr>
    </w:p>
    <w:p>
      <w:pPr>
        <w:jc w:val="both"/>
        <w:rPr>
          <w:rFonts w:cs="Arial"/>
          <w:sz w:val="24"/>
          <w:szCs w:val="24"/>
        </w:rPr>
      </w:pPr>
    </w:p>
    <w:p>
      <w:pPr>
        <w:jc w:val="both"/>
        <w:rPr>
          <w:rFonts w:cs="Arial"/>
          <w:b/>
          <w:sz w:val="24"/>
          <w:szCs w:val="24"/>
        </w:rPr>
      </w:pPr>
      <w:r>
        <w:rPr>
          <w:rFonts w:cs="Arial"/>
          <w:b/>
          <w:sz w:val="24"/>
          <w:szCs w:val="24"/>
        </w:rPr>
        <w:t>5 – Anrechnung geeigneter Berufsausbildungen oder gleichwertiger beruflicher Tätigkeiten und Dauer des Vorbereitungsdienstes</w:t>
      </w:r>
    </w:p>
    <w:p>
      <w:pPr>
        <w:jc w:val="both"/>
        <w:rPr>
          <w:rFonts w:cs="Arial"/>
          <w:sz w:val="24"/>
          <w:szCs w:val="24"/>
        </w:rPr>
      </w:pPr>
      <w:r>
        <w:rPr>
          <w:rFonts w:cs="Arial"/>
          <w:sz w:val="24"/>
          <w:szCs w:val="24"/>
        </w:rPr>
        <w:t>(1) Die Ausbildungsbehörden prüfen auf Antrag der Anwärterin oder des Anwärters, ob Zeiten, in denen die für die Aufgaben im zweiten Einstiegsamt der Laufbahngruppe 1 erforderlichen Fähigkeiten, Kenntnisse und Fertigkeiten in einer geeigneten, mit einer Prüfung abgeschlossenen Berufsausbildung außerhalb des Vorbereitungsdienstes oder durch eine gleichwertige berufliche Tätigkeit innerhalb oder außerhalb des öffentlichen Dienstes erworben worden sind, auf den Vorbereitungsdienst angerechnet werden können (vergleiche § 10 Absatz 3 Satz 1 der Verordnung über die Laufbahnen der Beamtinnen und Beamten des allgemeinen Verwaltungsdienstes [Laufbahnverordnung allgemeiner Verwaltungsdienst - LVO-AVD] vom 5. März 2013, zuletzt geändert durch Artikel 8 des Gesetzes vom 19. Dezember 2017 [GVBl. S. 695] in der jeweils geltenden Fassung.</w:t>
      </w:r>
    </w:p>
    <w:p>
      <w:pPr>
        <w:jc w:val="both"/>
        <w:rPr>
          <w:rFonts w:cs="Arial"/>
          <w:sz w:val="24"/>
          <w:szCs w:val="24"/>
        </w:rPr>
      </w:pPr>
    </w:p>
    <w:p>
      <w:pPr>
        <w:jc w:val="both"/>
        <w:rPr>
          <w:rFonts w:cs="Arial"/>
          <w:sz w:val="24"/>
          <w:szCs w:val="24"/>
        </w:rPr>
      </w:pPr>
      <w:r>
        <w:rPr>
          <w:rFonts w:cs="Arial"/>
          <w:sz w:val="24"/>
          <w:szCs w:val="24"/>
        </w:rPr>
        <w:t>(2) Angerechnet werden können verbrachte Zeiten innerhalb der Ausbildungsberufe Verwaltungsfachangestellte/Verwaltungsfachangestellter, Fachangestellte für Bürokommunikation/Fachangestellter für Bürokommunikation, Kauffrau/ Kaufmann für Büromanagement oder eines anderen geeigneten Ausbildungsberufs der Verwaltung oder Bürowirtschaft. Über die Gleichwertigkeit eines anderen geeigneten Ausbildungsberufs der Verwaltung oder Bürowirtschaft entscheidet die für die Ordnung der Laufbahn zuständige Senatsverwaltung.</w:t>
      </w:r>
    </w:p>
    <w:p>
      <w:pPr>
        <w:jc w:val="both"/>
        <w:rPr>
          <w:rFonts w:cs="Arial"/>
          <w:sz w:val="24"/>
          <w:szCs w:val="24"/>
        </w:rPr>
      </w:pPr>
    </w:p>
    <w:p>
      <w:pPr>
        <w:jc w:val="both"/>
        <w:rPr>
          <w:rFonts w:cs="Arial"/>
          <w:sz w:val="24"/>
          <w:szCs w:val="24"/>
        </w:rPr>
      </w:pPr>
      <w:r>
        <w:rPr>
          <w:rFonts w:cs="Arial"/>
          <w:sz w:val="24"/>
          <w:szCs w:val="24"/>
        </w:rPr>
        <w:t xml:space="preserve">(3) Da § 7 Absatz 2 Nummer 2 Buchstabe b) LfbG einen mindestens zweijährigen Vorbereitungsdienst vorschreibt, ist eine Anrechnung höchstens bis zu einer Gesamtdauer von sechs Monaten möglich. Im Rahmen der Prüfung zur Anrechnung der Zeiten nach Absatz 1 ist der weitere Ausbildungsverlauf mit der Ausbildungseinrichtung zu berücksichtigen und abzustimmen. </w:t>
      </w:r>
    </w:p>
    <w:p>
      <w:pPr>
        <w:jc w:val="both"/>
        <w:rPr>
          <w:rFonts w:cs="Arial"/>
          <w:sz w:val="24"/>
          <w:szCs w:val="24"/>
        </w:rPr>
      </w:pPr>
    </w:p>
    <w:p>
      <w:pPr>
        <w:jc w:val="both"/>
        <w:rPr>
          <w:rFonts w:cs="Arial"/>
          <w:sz w:val="24"/>
          <w:szCs w:val="24"/>
        </w:rPr>
      </w:pPr>
      <w:r>
        <w:rPr>
          <w:rFonts w:cs="Arial"/>
          <w:sz w:val="24"/>
          <w:szCs w:val="24"/>
        </w:rPr>
        <w:t>(4) Zeiten, die bereits im Rahmen von § 7 Absatz 2 Nummer 1 Buchstabe b) oder c) LfbG berücksichtigt wurden, können nicht auf den Vorbereitungsdienst angerechnet werden.</w:t>
      </w:r>
    </w:p>
    <w:p>
      <w:pPr>
        <w:jc w:val="both"/>
        <w:rPr>
          <w:rFonts w:cs="Arial"/>
          <w:sz w:val="24"/>
          <w:szCs w:val="24"/>
        </w:rPr>
      </w:pPr>
    </w:p>
    <w:p>
      <w:pPr>
        <w:jc w:val="both"/>
        <w:rPr>
          <w:rFonts w:cs="Arial"/>
          <w:sz w:val="24"/>
          <w:szCs w:val="24"/>
        </w:rPr>
      </w:pPr>
    </w:p>
    <w:p>
      <w:pPr>
        <w:jc w:val="both"/>
        <w:rPr>
          <w:rFonts w:cs="Arial"/>
          <w:b/>
          <w:sz w:val="24"/>
          <w:szCs w:val="24"/>
        </w:rPr>
      </w:pPr>
      <w:r>
        <w:rPr>
          <w:rFonts w:cs="Arial"/>
          <w:b/>
          <w:sz w:val="24"/>
          <w:szCs w:val="24"/>
        </w:rPr>
        <w:t>6 - Teilzeitbeschäftigung</w:t>
      </w:r>
    </w:p>
    <w:p>
      <w:pPr>
        <w:jc w:val="both"/>
        <w:rPr>
          <w:rFonts w:cs="Arial"/>
          <w:sz w:val="24"/>
          <w:szCs w:val="24"/>
        </w:rPr>
      </w:pPr>
      <w:r>
        <w:rPr>
          <w:rFonts w:cs="Arial"/>
          <w:sz w:val="24"/>
          <w:szCs w:val="24"/>
        </w:rPr>
        <w:t>Die Gewährung von Teilzeitbeschäftigung erfolgt unter Berücksichtigung und besonderer Abwägung der Interessen des Dienstherrn an der Vermittlung der für den erfolgreichen Abschluss des Vorbereitungsdienstes erforderlichen Kenntnisse und Fertigkeiten für die künftige Verwendung und der Interessen der Anwärterinnen und Anwärter, die Ausbildung im Vorbereitungsdienst mit den familiären Anforderungen zu vereinbaren. Das Ausbildungsziel des Vorbereitungsdienstes soll, auch im Interesse der Beamtinnen und Beamten auf Widerruf, stets erreichbar bleiben.</w:t>
      </w:r>
    </w:p>
    <w:p>
      <w:pPr>
        <w:jc w:val="both"/>
        <w:rPr>
          <w:rFonts w:cs="Arial"/>
          <w:sz w:val="24"/>
          <w:szCs w:val="24"/>
        </w:rPr>
      </w:pPr>
      <w:r>
        <w:rPr>
          <w:rFonts w:cs="Arial"/>
          <w:sz w:val="24"/>
          <w:szCs w:val="24"/>
        </w:rPr>
        <w:t>Im Regelfall ist eine Reduzierung der Arbeitszeit während der berufspraktischen Ausbildung um 25 vom Hundert mit dem Ausbildungsziel vereinbar. In besonderen Einzelfällen kann unter Berücksichtigung der besonderen Lebenssituation der Anwärterin oder des Anwärters eine Reduzierung der Arbeitszeit während der berufspraktischen Ausbildung um bis zu 50 vom Hundert noch angemessen sein.</w:t>
      </w:r>
    </w:p>
    <w:p>
      <w:pPr>
        <w:jc w:val="both"/>
        <w:rPr>
          <w:rFonts w:cs="Arial"/>
          <w:sz w:val="24"/>
          <w:szCs w:val="24"/>
        </w:rPr>
      </w:pPr>
    </w:p>
    <w:p>
      <w:pPr>
        <w:jc w:val="both"/>
        <w:rPr>
          <w:rFonts w:cs="Arial"/>
          <w:sz w:val="24"/>
          <w:szCs w:val="24"/>
        </w:rPr>
      </w:pPr>
    </w:p>
    <w:p>
      <w:pPr>
        <w:jc w:val="both"/>
        <w:rPr>
          <w:rFonts w:cs="Arial"/>
          <w:sz w:val="24"/>
          <w:szCs w:val="24"/>
        </w:rPr>
      </w:pPr>
    </w:p>
    <w:p>
      <w:pPr>
        <w:jc w:val="both"/>
        <w:rPr>
          <w:rFonts w:cs="Arial"/>
          <w:sz w:val="24"/>
          <w:szCs w:val="24"/>
        </w:rPr>
      </w:pPr>
    </w:p>
    <w:p>
      <w:pPr>
        <w:jc w:val="both"/>
        <w:rPr>
          <w:rFonts w:cs="Arial"/>
          <w:b/>
          <w:sz w:val="24"/>
          <w:szCs w:val="24"/>
        </w:rPr>
      </w:pPr>
    </w:p>
    <w:p>
      <w:pPr>
        <w:jc w:val="both"/>
        <w:rPr>
          <w:rFonts w:cs="Arial"/>
          <w:b/>
          <w:sz w:val="24"/>
          <w:szCs w:val="24"/>
        </w:rPr>
      </w:pPr>
      <w:r>
        <w:rPr>
          <w:rFonts w:cs="Arial"/>
          <w:b/>
          <w:sz w:val="24"/>
          <w:szCs w:val="24"/>
        </w:rPr>
        <w:lastRenderedPageBreak/>
        <w:t>7 - Berufspraktische Ausbildung</w:t>
      </w:r>
    </w:p>
    <w:p>
      <w:pPr>
        <w:jc w:val="both"/>
        <w:rPr>
          <w:rFonts w:cs="Arial"/>
          <w:sz w:val="24"/>
          <w:szCs w:val="24"/>
        </w:rPr>
      </w:pPr>
      <w:r>
        <w:rPr>
          <w:rFonts w:cs="Arial"/>
          <w:sz w:val="24"/>
          <w:szCs w:val="24"/>
        </w:rPr>
        <w:t>(1) Die berufspraktische Ausbildung (§ 9 Abs. 1 APOallgVerwD, LfbGr. 1) und die Einführung in den Verwaltungsdienst (§ 9 Abs. 2 APOallgVerwD, LfbGr. 1) der Anwärterinnen und Anwärter richten sich nach dem Einführungs- und Ausbildungsplan (Anlage 1).</w:t>
      </w:r>
    </w:p>
    <w:p>
      <w:pPr>
        <w:jc w:val="both"/>
        <w:rPr>
          <w:rFonts w:cs="Arial"/>
          <w:sz w:val="24"/>
          <w:szCs w:val="24"/>
        </w:rPr>
      </w:pPr>
    </w:p>
    <w:p>
      <w:pPr>
        <w:jc w:val="both"/>
        <w:rPr>
          <w:rFonts w:cs="Arial"/>
          <w:sz w:val="24"/>
          <w:szCs w:val="24"/>
        </w:rPr>
      </w:pPr>
      <w:r>
        <w:rPr>
          <w:rFonts w:cs="Arial"/>
          <w:sz w:val="24"/>
          <w:szCs w:val="24"/>
        </w:rPr>
        <w:t>(2) Die Anwärterinnen und Anwärter haben ein Berichtsheft in Form eines Ausbildungsnachweises zu führen, aus dem die Inhalte und die Dauer der praktischen Ausbildung in den einzelnen Ausbildungsabschnitten hervorgehen (Anlage 2). Sie haben das Berichtsheft mindestens einmal monatlich den Praxisanleiterinnen oder Praxisanleitern zur Bestätigung und nach Abschluss der Ausbildung in dem Ausbildungsabschnitt der Ausbildungsleitung zur Kenntnis vorzulegen. Die Ausbildungsleitung prüft anhand des Berichtsheftes, ob die Ausbildung zweckentsprechend und ordnungsgemäß durchgeführt worden ist.</w:t>
      </w:r>
    </w:p>
    <w:p>
      <w:pPr>
        <w:jc w:val="both"/>
        <w:rPr>
          <w:rFonts w:cs="Arial"/>
          <w:sz w:val="24"/>
          <w:szCs w:val="24"/>
        </w:rPr>
      </w:pPr>
    </w:p>
    <w:p>
      <w:pPr>
        <w:jc w:val="both"/>
        <w:rPr>
          <w:rFonts w:cs="Arial"/>
          <w:sz w:val="24"/>
          <w:szCs w:val="24"/>
        </w:rPr>
      </w:pPr>
    </w:p>
    <w:p>
      <w:pPr>
        <w:jc w:val="both"/>
        <w:rPr>
          <w:rFonts w:cs="Arial"/>
          <w:b/>
          <w:sz w:val="24"/>
          <w:szCs w:val="24"/>
        </w:rPr>
      </w:pPr>
      <w:r>
        <w:rPr>
          <w:rFonts w:cs="Arial"/>
          <w:b/>
          <w:sz w:val="24"/>
          <w:szCs w:val="24"/>
        </w:rPr>
        <w:t>8 - Leistungsnachweise und Leistungsbeurteilungen der berufspraktischen Ausbildung</w:t>
      </w:r>
    </w:p>
    <w:p>
      <w:pPr>
        <w:jc w:val="both"/>
        <w:rPr>
          <w:rFonts w:cs="Arial"/>
          <w:sz w:val="24"/>
          <w:szCs w:val="24"/>
        </w:rPr>
      </w:pPr>
      <w:r>
        <w:rPr>
          <w:rFonts w:cs="Arial"/>
          <w:sz w:val="24"/>
          <w:szCs w:val="24"/>
        </w:rPr>
        <w:t>(1) Am Ende jedes berufspraktischen Ausbildungsabschnitts sind die Anwärterinnen und Anwärter</w:t>
      </w:r>
    </w:p>
    <w:p>
      <w:pPr>
        <w:pStyle w:val="Listenabsatz"/>
        <w:numPr>
          <w:ilvl w:val="0"/>
          <w:numId w:val="2"/>
        </w:numPr>
        <w:jc w:val="both"/>
        <w:rPr>
          <w:rFonts w:cs="Arial"/>
          <w:sz w:val="24"/>
          <w:szCs w:val="24"/>
        </w:rPr>
      </w:pPr>
      <w:r>
        <w:rPr>
          <w:rFonts w:cs="Arial"/>
          <w:sz w:val="24"/>
          <w:szCs w:val="24"/>
        </w:rPr>
        <w:t>aufgrund des Leistungsnachweises (§ 10 Abs. 1 APOallgVerwD, LfbGr. 1), der in der Regel durch eine praxisbezogene Klausur erbracht wird, und</w:t>
      </w:r>
    </w:p>
    <w:p>
      <w:pPr>
        <w:pStyle w:val="Listenabsatz"/>
        <w:numPr>
          <w:ilvl w:val="0"/>
          <w:numId w:val="2"/>
        </w:numPr>
        <w:jc w:val="both"/>
        <w:rPr>
          <w:rFonts w:cs="Arial"/>
          <w:sz w:val="24"/>
          <w:szCs w:val="24"/>
        </w:rPr>
      </w:pPr>
      <w:r>
        <w:rPr>
          <w:rFonts w:cs="Arial"/>
          <w:sz w:val="24"/>
          <w:szCs w:val="24"/>
        </w:rPr>
        <w:t>nach ihren Fähigkeiten und ihren Leistungen allgemein (§ 10 Abs. 2 APOallgVerwD, LfbGr. 1)</w:t>
      </w:r>
    </w:p>
    <w:p>
      <w:pPr>
        <w:jc w:val="both"/>
        <w:rPr>
          <w:rFonts w:cs="Arial"/>
          <w:sz w:val="24"/>
          <w:szCs w:val="24"/>
        </w:rPr>
      </w:pPr>
      <w:r>
        <w:rPr>
          <w:rFonts w:cs="Arial"/>
          <w:sz w:val="24"/>
          <w:szCs w:val="24"/>
        </w:rPr>
        <w:t>zu beurteilen.</w:t>
      </w:r>
    </w:p>
    <w:p>
      <w:pPr>
        <w:jc w:val="both"/>
        <w:rPr>
          <w:rFonts w:cs="Arial"/>
          <w:sz w:val="24"/>
          <w:szCs w:val="24"/>
        </w:rPr>
      </w:pPr>
    </w:p>
    <w:p>
      <w:pPr>
        <w:jc w:val="both"/>
        <w:rPr>
          <w:rFonts w:cs="Arial"/>
          <w:sz w:val="24"/>
          <w:szCs w:val="24"/>
        </w:rPr>
      </w:pPr>
      <w:r>
        <w:rPr>
          <w:rFonts w:cs="Arial"/>
          <w:sz w:val="24"/>
          <w:szCs w:val="24"/>
        </w:rPr>
        <w:t>(2) Der Leistungsnachweis (Absatz 1 Buchstabe a) ist von den Praxisanleiterinnen oder Praxisanleitern zu beurteilen und zu bewerten. Die Leistungsnachweise sind in der Ausbildungsakte (Beiakte der Personalakte) aufzubewahren.</w:t>
      </w:r>
    </w:p>
    <w:p>
      <w:pPr>
        <w:jc w:val="both"/>
        <w:rPr>
          <w:rFonts w:cs="Arial"/>
          <w:sz w:val="24"/>
          <w:szCs w:val="24"/>
        </w:rPr>
      </w:pPr>
    </w:p>
    <w:p>
      <w:pPr>
        <w:jc w:val="both"/>
        <w:rPr>
          <w:rFonts w:cs="Arial"/>
          <w:sz w:val="24"/>
          <w:szCs w:val="24"/>
        </w:rPr>
      </w:pPr>
      <w:r>
        <w:rPr>
          <w:rFonts w:cs="Arial"/>
          <w:sz w:val="24"/>
          <w:szCs w:val="24"/>
        </w:rPr>
        <w:t xml:space="preserve">(3) Die Leistungsbeurteilung (Absatz 1 Buchstabe b) soll sich insbesondere auf die persönlichkeitsbezogenen Fähigkeiten und die Eignung erstrecken; die Einzelbeurteilungen sind unter Festsetzung einer Gesamtnote gemäß § 28 LfbG zusammenzufassen. </w:t>
      </w:r>
    </w:p>
    <w:p>
      <w:pPr>
        <w:jc w:val="both"/>
        <w:rPr>
          <w:rFonts w:cs="Arial"/>
          <w:sz w:val="24"/>
          <w:szCs w:val="24"/>
        </w:rPr>
      </w:pPr>
    </w:p>
    <w:p>
      <w:pPr>
        <w:jc w:val="both"/>
        <w:rPr>
          <w:rFonts w:cs="Arial"/>
          <w:sz w:val="24"/>
          <w:szCs w:val="24"/>
        </w:rPr>
      </w:pPr>
      <w:r>
        <w:rPr>
          <w:rFonts w:cs="Arial"/>
          <w:sz w:val="24"/>
          <w:szCs w:val="24"/>
        </w:rPr>
        <w:t>(4) Grundlage der Leistungsbeurteilung ist das Masteranforderungsprofil für die Anwärterinnen und Anwärter des zweiten Einstiegsamts der Laufbahngruppe 1 der Laufbahnfachrichtung allgemeiner Verwaltungsdienst, Laufbahnzweig nichttechnischer Verwaltungsdienst.</w:t>
      </w:r>
    </w:p>
    <w:p>
      <w:pPr>
        <w:jc w:val="both"/>
        <w:rPr>
          <w:rFonts w:cs="Arial"/>
          <w:sz w:val="24"/>
          <w:szCs w:val="24"/>
        </w:rPr>
      </w:pPr>
    </w:p>
    <w:p>
      <w:pPr>
        <w:jc w:val="both"/>
        <w:rPr>
          <w:rFonts w:cs="Arial"/>
          <w:sz w:val="24"/>
          <w:szCs w:val="24"/>
        </w:rPr>
      </w:pPr>
    </w:p>
    <w:p>
      <w:pPr>
        <w:jc w:val="both"/>
        <w:rPr>
          <w:rFonts w:cs="Arial"/>
          <w:b/>
          <w:sz w:val="24"/>
          <w:szCs w:val="24"/>
        </w:rPr>
      </w:pPr>
      <w:r>
        <w:rPr>
          <w:rFonts w:cs="Arial"/>
          <w:b/>
          <w:sz w:val="24"/>
          <w:szCs w:val="24"/>
        </w:rPr>
        <w:t>9 - Fachtheoretische Ausbildung</w:t>
      </w:r>
    </w:p>
    <w:p>
      <w:pPr>
        <w:jc w:val="both"/>
        <w:rPr>
          <w:rFonts w:cs="Arial"/>
          <w:sz w:val="24"/>
          <w:szCs w:val="24"/>
        </w:rPr>
      </w:pPr>
      <w:r>
        <w:rPr>
          <w:rFonts w:cs="Arial"/>
          <w:sz w:val="24"/>
          <w:szCs w:val="24"/>
        </w:rPr>
        <w:t xml:space="preserve">(1) Die fachtheoretische Ausbildung an der Veraltungsakademie Berlin richtet sich nach den Lehrplänen der Verwaltungsakademie, die mindestens die in der Anlage 3 genannten Fachgebiete enthalten müssen. </w:t>
      </w:r>
    </w:p>
    <w:p>
      <w:pPr>
        <w:jc w:val="both"/>
        <w:rPr>
          <w:rFonts w:cs="Arial"/>
          <w:sz w:val="24"/>
          <w:szCs w:val="24"/>
        </w:rPr>
      </w:pPr>
    </w:p>
    <w:p>
      <w:pPr>
        <w:jc w:val="both"/>
        <w:rPr>
          <w:rFonts w:cs="Arial"/>
          <w:sz w:val="24"/>
          <w:szCs w:val="24"/>
        </w:rPr>
      </w:pPr>
      <w:r>
        <w:rPr>
          <w:rFonts w:cs="Arial"/>
          <w:sz w:val="24"/>
          <w:szCs w:val="24"/>
        </w:rPr>
        <w:t xml:space="preserve">(2) Für jede Unterrichtsgemeinschaft ist ein Unterrichtsbuch zu führen, in dem die Dozentin oder der Dozent Dauer und Inhalt der fachtheoretischen Ausbildung angibt. </w:t>
      </w:r>
    </w:p>
    <w:p>
      <w:pPr>
        <w:jc w:val="both"/>
        <w:rPr>
          <w:rFonts w:cs="Arial"/>
          <w:sz w:val="24"/>
          <w:szCs w:val="24"/>
        </w:rPr>
      </w:pPr>
    </w:p>
    <w:p>
      <w:pPr>
        <w:jc w:val="both"/>
        <w:rPr>
          <w:rFonts w:cs="Arial"/>
          <w:sz w:val="24"/>
          <w:szCs w:val="24"/>
        </w:rPr>
      </w:pPr>
      <w:r>
        <w:rPr>
          <w:rFonts w:cs="Arial"/>
          <w:sz w:val="24"/>
          <w:szCs w:val="24"/>
        </w:rPr>
        <w:t xml:space="preserve">(3) Liegen zu Beginn des Abschlusslehrgangs noch nicht alle Bewertungen für die im Hauptlehrgang und in der praktischen Ausbildung erbrachten Leistungsnachweise </w:t>
      </w:r>
      <w:r>
        <w:rPr>
          <w:rFonts w:cs="Arial"/>
          <w:sz w:val="24"/>
          <w:szCs w:val="24"/>
        </w:rPr>
        <w:lastRenderedPageBreak/>
        <w:t>und Leistungsbeurteilungen vor, so gilt die Anwärterin oder der Anwärter zunächst nur als unter dem Vorbehalt des Widerrufs zum Abschlusslehrgang zugelassen.</w:t>
      </w:r>
    </w:p>
    <w:p>
      <w:pPr>
        <w:jc w:val="both"/>
        <w:rPr>
          <w:rFonts w:cs="Arial"/>
          <w:sz w:val="24"/>
          <w:szCs w:val="24"/>
        </w:rPr>
      </w:pPr>
    </w:p>
    <w:p>
      <w:pPr>
        <w:jc w:val="both"/>
        <w:rPr>
          <w:rFonts w:cs="Arial"/>
          <w:sz w:val="24"/>
          <w:szCs w:val="24"/>
        </w:rPr>
      </w:pPr>
      <w:r>
        <w:rPr>
          <w:rFonts w:cs="Arial"/>
          <w:sz w:val="24"/>
          <w:szCs w:val="24"/>
        </w:rPr>
        <w:t>(4) Über eine Nichtzulassung zum Abschlusslehrgang hat die Ausbildungsbehörde der Anwärterin oder dem Anwärter einen Bescheid zu erteilen und dabei die Entscheidung nach § 15 Abs. 1 Nr. 1 oder Abs. 7 APOallgVerwD, LfbGr. 1 zu treffen.</w:t>
      </w:r>
    </w:p>
    <w:p>
      <w:pPr>
        <w:jc w:val="both"/>
        <w:rPr>
          <w:rFonts w:cs="Arial"/>
          <w:sz w:val="24"/>
          <w:szCs w:val="24"/>
        </w:rPr>
      </w:pPr>
    </w:p>
    <w:p>
      <w:pPr>
        <w:jc w:val="both"/>
        <w:rPr>
          <w:rFonts w:cs="Arial"/>
          <w:b/>
          <w:sz w:val="24"/>
          <w:szCs w:val="24"/>
        </w:rPr>
      </w:pPr>
      <w:r>
        <w:rPr>
          <w:rFonts w:cs="Arial"/>
          <w:b/>
          <w:sz w:val="24"/>
          <w:szCs w:val="24"/>
        </w:rPr>
        <w:t>10 - Leistungsnachweise der fachtheoretischen Ausbildung</w:t>
      </w:r>
    </w:p>
    <w:p>
      <w:pPr>
        <w:jc w:val="both"/>
        <w:rPr>
          <w:rFonts w:cs="Arial"/>
          <w:sz w:val="24"/>
          <w:szCs w:val="24"/>
        </w:rPr>
      </w:pPr>
      <w:r>
        <w:rPr>
          <w:rFonts w:cs="Arial"/>
          <w:sz w:val="24"/>
          <w:szCs w:val="24"/>
        </w:rPr>
        <w:t xml:space="preserve">Die Ausbildungsbehörde entscheidet im Einvernehmen mit der Ausbildungseinrichtung darüber, ob auf die Wiederholung eines Leistungsnachweises verzichtet werden kann. Ein Verzicht ist insbesondere möglich bei Leistungsnachweisen, die </w:t>
      </w:r>
    </w:p>
    <w:p>
      <w:pPr>
        <w:pStyle w:val="Listenabsatz"/>
        <w:numPr>
          <w:ilvl w:val="0"/>
          <w:numId w:val="3"/>
        </w:numPr>
        <w:jc w:val="both"/>
        <w:rPr>
          <w:rFonts w:cs="Arial"/>
          <w:sz w:val="24"/>
          <w:szCs w:val="24"/>
        </w:rPr>
      </w:pPr>
      <w:r>
        <w:rPr>
          <w:rFonts w:cs="Arial"/>
          <w:sz w:val="24"/>
          <w:szCs w:val="24"/>
        </w:rPr>
        <w:t>im Abschlusslehrgang erbracht werden,</w:t>
      </w:r>
    </w:p>
    <w:p>
      <w:pPr>
        <w:pStyle w:val="Listenabsatz"/>
        <w:numPr>
          <w:ilvl w:val="0"/>
          <w:numId w:val="3"/>
        </w:numPr>
        <w:jc w:val="both"/>
        <w:rPr>
          <w:rFonts w:cs="Arial"/>
          <w:sz w:val="24"/>
          <w:szCs w:val="24"/>
        </w:rPr>
      </w:pPr>
      <w:r>
        <w:rPr>
          <w:rFonts w:cs="Arial"/>
          <w:sz w:val="24"/>
          <w:szCs w:val="24"/>
        </w:rPr>
        <w:t>gegen Ende des Hauptlehrgangs erbracht werden und deren Bewertung erst nach Beginn des Abschlusslehrgangs vorliegt, sofern dadurch nicht mehr als drei Leistungsnachweise mit „mangelhaft“ oder schlechter bewertet sind.</w:t>
      </w:r>
    </w:p>
    <w:p>
      <w:pPr>
        <w:jc w:val="both"/>
        <w:rPr>
          <w:rFonts w:cs="Arial"/>
          <w:sz w:val="24"/>
          <w:szCs w:val="24"/>
        </w:rPr>
      </w:pPr>
    </w:p>
    <w:p>
      <w:pPr>
        <w:jc w:val="both"/>
        <w:rPr>
          <w:rFonts w:cs="Arial"/>
          <w:b/>
          <w:sz w:val="24"/>
          <w:szCs w:val="24"/>
        </w:rPr>
      </w:pPr>
      <w:r>
        <w:rPr>
          <w:rFonts w:cs="Arial"/>
          <w:b/>
          <w:sz w:val="24"/>
          <w:szCs w:val="24"/>
        </w:rPr>
        <w:t>11 – Umgang mit den Arbeiten der schriftlichen Prüfung</w:t>
      </w:r>
    </w:p>
    <w:p>
      <w:pPr>
        <w:jc w:val="both"/>
        <w:rPr>
          <w:rFonts w:cs="Arial"/>
          <w:sz w:val="24"/>
          <w:szCs w:val="24"/>
        </w:rPr>
      </w:pPr>
      <w:r>
        <w:rPr>
          <w:rFonts w:cs="Arial"/>
          <w:sz w:val="24"/>
          <w:szCs w:val="24"/>
        </w:rPr>
        <w:t>Soweit keine elektronische Prüfung erfolgte, vermerkt die Aufsicht führende Person auf der Arbeit den Zeitpunkt der Abgabe. Sie hat die Arbeiten in einem Umschlag zu verschließen und der Geschäftsstelle des Prüfungsausschusses (§ 17 Abs. 3 APOallgVerwD, LfbGr. 1) zur Weiterleitung an die Erstzensierende oder den Erstzensierenden zu übergeben. Im Falle der elektronischen Prüfung ist eine entsprechende Weiterleitung sicherzustellen.</w:t>
      </w:r>
    </w:p>
    <w:p>
      <w:pPr>
        <w:jc w:val="both"/>
        <w:rPr>
          <w:rFonts w:cs="Arial"/>
          <w:sz w:val="24"/>
          <w:szCs w:val="24"/>
        </w:rPr>
      </w:pPr>
    </w:p>
    <w:p>
      <w:pPr>
        <w:jc w:val="both"/>
        <w:rPr>
          <w:rFonts w:cs="Arial"/>
          <w:b/>
          <w:sz w:val="24"/>
          <w:szCs w:val="24"/>
        </w:rPr>
      </w:pPr>
      <w:r>
        <w:rPr>
          <w:rFonts w:cs="Arial"/>
          <w:b/>
          <w:sz w:val="24"/>
          <w:szCs w:val="24"/>
        </w:rPr>
        <w:t>12 – Verbesserung der Abschlussnote</w:t>
      </w:r>
    </w:p>
    <w:p>
      <w:pPr>
        <w:jc w:val="both"/>
        <w:rPr>
          <w:rFonts w:cs="Arial"/>
          <w:sz w:val="24"/>
          <w:szCs w:val="24"/>
        </w:rPr>
      </w:pPr>
      <w:r>
        <w:rPr>
          <w:rFonts w:cs="Arial"/>
          <w:sz w:val="24"/>
          <w:szCs w:val="24"/>
        </w:rPr>
        <w:t>Von der Möglichkeit, die Abschlussnote zu verbessern, kann der Prüfungsausschuss dann Gebrauch machen, wenn die sich aus § 24 Abs. 1 ergebende Abschlussnote von der Ausbildungsnote unverhältnismäßig stark abweicht. Hierbei müssen die durch die Ausbildungsnote zum Ausdruck kommenden Leistungen und der auf dieser Grundlage vom Prüfungsausschuss von der Kandidatin oder dem Kandidaten gewonnene Gesamteindruck eine Veränderung der Abschlussnote rechtfertigen. Der aufgrund der Leistungen der Kandidatin oder des Kandidaten in der mündlichen Prüfung gewonnene Eindruck kann dabei auch berücksichtigt werden, soll aber kein besonderes Gewicht erhalten. Die Ermessensabwägungen durch den Prüfungsausschuss sind auch dann anzustellen, wenn sich durch eine Veränderung der Abschlussnote das Prüfungsergebnis nicht ändert.</w:t>
      </w:r>
    </w:p>
    <w:p>
      <w:pPr>
        <w:jc w:val="both"/>
        <w:rPr>
          <w:rFonts w:cs="Arial"/>
          <w:sz w:val="24"/>
          <w:szCs w:val="24"/>
        </w:rPr>
      </w:pPr>
    </w:p>
    <w:p>
      <w:pPr>
        <w:jc w:val="both"/>
        <w:rPr>
          <w:rFonts w:cs="Arial"/>
          <w:b/>
          <w:sz w:val="24"/>
          <w:szCs w:val="24"/>
        </w:rPr>
      </w:pPr>
      <w:r>
        <w:rPr>
          <w:rFonts w:cs="Arial"/>
          <w:b/>
          <w:sz w:val="24"/>
          <w:szCs w:val="24"/>
        </w:rPr>
        <w:t>13 – Dokumentation des Prüfungsergebnisses</w:t>
      </w:r>
    </w:p>
    <w:p>
      <w:pPr>
        <w:jc w:val="both"/>
        <w:rPr>
          <w:rFonts w:cs="Arial"/>
          <w:sz w:val="24"/>
          <w:szCs w:val="24"/>
        </w:rPr>
      </w:pPr>
      <w:r>
        <w:rPr>
          <w:rFonts w:cs="Arial"/>
          <w:sz w:val="24"/>
          <w:szCs w:val="24"/>
        </w:rPr>
        <w:t>(1) Eine beglaubigte Abschrift des Bescheides oder des Zeugnisses ist zu der Personalakte zu nehmen.</w:t>
      </w:r>
    </w:p>
    <w:p>
      <w:pPr>
        <w:jc w:val="both"/>
        <w:rPr>
          <w:rFonts w:cs="Arial"/>
          <w:sz w:val="24"/>
          <w:szCs w:val="24"/>
        </w:rPr>
      </w:pPr>
    </w:p>
    <w:p>
      <w:pPr>
        <w:jc w:val="both"/>
        <w:rPr>
          <w:rFonts w:cs="Arial"/>
          <w:sz w:val="24"/>
          <w:szCs w:val="24"/>
        </w:rPr>
      </w:pPr>
      <w:r>
        <w:rPr>
          <w:rFonts w:cs="Arial"/>
          <w:sz w:val="24"/>
          <w:szCs w:val="24"/>
        </w:rPr>
        <w:t xml:space="preserve">(2) Das Protokoll ist mit den Prüfungsarbeiten zu einer Prüfungsakte zusammenzufassen. </w:t>
      </w:r>
    </w:p>
    <w:p>
      <w:pPr>
        <w:jc w:val="both"/>
        <w:rPr>
          <w:rFonts w:cs="Arial"/>
          <w:sz w:val="24"/>
          <w:szCs w:val="24"/>
        </w:rPr>
      </w:pPr>
    </w:p>
    <w:p>
      <w:pPr>
        <w:jc w:val="both"/>
        <w:rPr>
          <w:rFonts w:cs="Arial"/>
          <w:b/>
          <w:sz w:val="24"/>
          <w:szCs w:val="24"/>
        </w:rPr>
      </w:pPr>
      <w:r>
        <w:rPr>
          <w:rFonts w:cs="Arial"/>
          <w:b/>
          <w:sz w:val="24"/>
          <w:szCs w:val="24"/>
        </w:rPr>
        <w:t>14 - Inkrafttreten</w:t>
      </w:r>
    </w:p>
    <w:p>
      <w:pPr>
        <w:jc w:val="both"/>
        <w:rPr>
          <w:rFonts w:cs="Arial"/>
          <w:sz w:val="24"/>
          <w:szCs w:val="24"/>
        </w:rPr>
      </w:pPr>
      <w:r>
        <w:rPr>
          <w:rFonts w:cs="Arial"/>
          <w:sz w:val="24"/>
          <w:szCs w:val="24"/>
        </w:rPr>
        <w:t xml:space="preserve">Diese Ausführungsvorschriften treten am Tage nach der Veröffentlichung im Amtsblatt von Berlin in Kraft. Gleichzeitig treten die AV APOmD vom 2. Juni 1992 (DBl. I S. 73) außer Kraft. </w:t>
      </w:r>
    </w:p>
    <w:p>
      <w:pPr>
        <w:jc w:val="both"/>
        <w:rPr>
          <w:rFonts w:cs="Arial"/>
          <w:sz w:val="24"/>
          <w:szCs w:val="24"/>
        </w:rPr>
      </w:pPr>
    </w:p>
    <w:p>
      <w:pPr>
        <w:spacing w:after="200" w:line="276" w:lineRule="auto"/>
        <w:rPr>
          <w:rFonts w:cs="Arial"/>
          <w:sz w:val="24"/>
          <w:szCs w:val="24"/>
        </w:rPr>
      </w:pPr>
      <w:r>
        <w:rPr>
          <w:rFonts w:cs="Arial"/>
          <w:sz w:val="24"/>
          <w:szCs w:val="24"/>
        </w:rPr>
        <w:br w:type="page"/>
      </w:r>
    </w:p>
    <w:p>
      <w:pPr>
        <w:jc w:val="both"/>
        <w:rPr>
          <w:rFonts w:cs="Arial"/>
          <w:sz w:val="24"/>
          <w:szCs w:val="24"/>
        </w:rPr>
      </w:pPr>
      <w:r>
        <w:rPr>
          <w:rFonts w:cs="Arial"/>
          <w:sz w:val="24"/>
          <w:szCs w:val="24"/>
        </w:rPr>
        <w:lastRenderedPageBreak/>
        <w:t>Anlagen</w:t>
      </w:r>
    </w:p>
    <w:p>
      <w:pPr>
        <w:jc w:val="both"/>
        <w:rPr>
          <w:rFonts w:cs="Arial"/>
          <w:sz w:val="24"/>
          <w:szCs w:val="24"/>
        </w:rPr>
      </w:pPr>
    </w:p>
    <w:tbl>
      <w:tblPr>
        <w:tblStyle w:val="Tabellenraster"/>
        <w:tblpPr w:leftFromText="141" w:rightFromText="141" w:vertAnchor="text" w:tblpX="-185" w:tblpY="1"/>
        <w:tblOverlap w:val="never"/>
        <w:tblW w:w="9355" w:type="dxa"/>
        <w:tblInd w:w="0" w:type="dxa"/>
        <w:tblLayout w:type="fixed"/>
        <w:tblLook w:val="04A0" w:firstRow="1" w:lastRow="0" w:firstColumn="1" w:lastColumn="0" w:noHBand="0" w:noVBand="1"/>
      </w:tblPr>
      <w:tblGrid>
        <w:gridCol w:w="3152"/>
        <w:gridCol w:w="1067"/>
        <w:gridCol w:w="5136"/>
      </w:tblGrid>
      <w:tr>
        <w:tc>
          <w:tcPr>
            <w:tcW w:w="9355" w:type="dxa"/>
            <w:gridSpan w:val="3"/>
            <w:tcBorders>
              <w:top w:val="single" w:sz="4" w:space="0" w:color="auto"/>
              <w:left w:val="single" w:sz="4" w:space="0" w:color="auto"/>
              <w:bottom w:val="single" w:sz="4" w:space="0" w:color="auto"/>
              <w:right w:val="single" w:sz="4" w:space="0" w:color="auto"/>
            </w:tcBorders>
          </w:tcPr>
          <w:p>
            <w:pPr>
              <w:tabs>
                <w:tab w:val="right" w:pos="284"/>
                <w:tab w:val="left" w:pos="454"/>
              </w:tabs>
              <w:spacing w:line="276" w:lineRule="auto"/>
              <w:rPr>
                <w:rFonts w:eastAsia="Calibri" w:cs="Arial"/>
                <w:b/>
                <w:sz w:val="20"/>
                <w:szCs w:val="20"/>
              </w:rPr>
            </w:pPr>
            <w:r>
              <w:rPr>
                <w:rFonts w:eastAsia="Calibri" w:cs="Arial"/>
                <w:b/>
                <w:spacing w:val="40"/>
                <w:sz w:val="20"/>
                <w:szCs w:val="20"/>
              </w:rPr>
              <w:t>Anlage</w:t>
            </w:r>
            <w:r>
              <w:rPr>
                <w:rFonts w:eastAsia="Calibri" w:cs="Arial"/>
                <w:b/>
                <w:sz w:val="20"/>
                <w:szCs w:val="20"/>
              </w:rPr>
              <w:t xml:space="preserve"> 1</w:t>
            </w:r>
          </w:p>
          <w:p>
            <w:pPr>
              <w:tabs>
                <w:tab w:val="right" w:pos="284"/>
                <w:tab w:val="left" w:pos="454"/>
              </w:tabs>
              <w:spacing w:line="276" w:lineRule="auto"/>
              <w:rPr>
                <w:rFonts w:eastAsia="Calibri" w:cs="Arial"/>
                <w:sz w:val="20"/>
                <w:szCs w:val="20"/>
              </w:rPr>
            </w:pPr>
            <w:r>
              <w:rPr>
                <w:rFonts w:eastAsia="Calibri" w:cs="Arial"/>
                <w:sz w:val="20"/>
                <w:szCs w:val="20"/>
              </w:rPr>
              <w:t xml:space="preserve">(Zu Nummer </w:t>
            </w:r>
            <w:r>
              <w:rPr>
                <w:rFonts w:eastAsia="Calibri" w:cs="Arial"/>
                <w:b/>
                <w:sz w:val="20"/>
                <w:szCs w:val="20"/>
              </w:rPr>
              <w:t>7</w:t>
            </w:r>
            <w:r>
              <w:rPr>
                <w:rFonts w:eastAsia="Calibri" w:cs="Arial"/>
                <w:sz w:val="20"/>
                <w:szCs w:val="20"/>
              </w:rPr>
              <w:t xml:space="preserve"> Abs. 1)</w:t>
            </w:r>
          </w:p>
          <w:p>
            <w:pPr>
              <w:tabs>
                <w:tab w:val="right" w:pos="284"/>
                <w:tab w:val="left" w:pos="454"/>
              </w:tabs>
              <w:spacing w:line="276" w:lineRule="auto"/>
              <w:rPr>
                <w:rFonts w:eastAsia="Calibri" w:cs="Arial"/>
                <w:sz w:val="20"/>
                <w:szCs w:val="20"/>
              </w:rPr>
            </w:pPr>
          </w:p>
        </w:tc>
      </w:tr>
      <w:tr>
        <w:tc>
          <w:tcPr>
            <w:tcW w:w="9355" w:type="dxa"/>
            <w:gridSpan w:val="3"/>
            <w:tcBorders>
              <w:top w:val="single" w:sz="4" w:space="0" w:color="auto"/>
              <w:left w:val="single" w:sz="4" w:space="0" w:color="auto"/>
              <w:bottom w:val="single" w:sz="4" w:space="0" w:color="auto"/>
              <w:right w:val="single" w:sz="4" w:space="0" w:color="auto"/>
            </w:tcBorders>
            <w:vAlign w:val="center"/>
          </w:tcPr>
          <w:p>
            <w:pPr>
              <w:tabs>
                <w:tab w:val="right" w:pos="284"/>
                <w:tab w:val="left" w:pos="454"/>
              </w:tabs>
              <w:spacing w:line="276" w:lineRule="auto"/>
              <w:jc w:val="center"/>
              <w:rPr>
                <w:rFonts w:eastAsia="Calibri" w:cs="Arial"/>
                <w:b/>
                <w:sz w:val="24"/>
                <w:szCs w:val="20"/>
              </w:rPr>
            </w:pPr>
            <w:r>
              <w:rPr>
                <w:rFonts w:eastAsia="Calibri" w:cs="Arial"/>
                <w:b/>
                <w:sz w:val="24"/>
                <w:szCs w:val="20"/>
              </w:rPr>
              <w:t>Einführungs- und Ausbildungsplan für Sekretär-Anwärterinnen und -Anwärter</w:t>
            </w:r>
          </w:p>
          <w:p>
            <w:pPr>
              <w:tabs>
                <w:tab w:val="right" w:pos="284"/>
                <w:tab w:val="left" w:pos="454"/>
              </w:tabs>
              <w:spacing w:line="276" w:lineRule="auto"/>
              <w:jc w:val="center"/>
              <w:rPr>
                <w:rFonts w:eastAsia="Calibri" w:cs="Arial"/>
                <w:b/>
                <w:sz w:val="20"/>
                <w:szCs w:val="20"/>
              </w:rPr>
            </w:pPr>
          </w:p>
        </w:tc>
      </w:tr>
      <w:tr>
        <w:tc>
          <w:tcPr>
            <w:tcW w:w="9355" w:type="dxa"/>
            <w:gridSpan w:val="3"/>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line="276" w:lineRule="auto"/>
              <w:rPr>
                <w:rFonts w:eastAsia="Calibri" w:cs="Arial"/>
                <w:sz w:val="20"/>
                <w:szCs w:val="20"/>
              </w:rPr>
            </w:pPr>
            <w:r>
              <w:rPr>
                <w:rFonts w:eastAsia="Calibri" w:cs="Arial"/>
                <w:spacing w:val="40"/>
                <w:sz w:val="20"/>
                <w:szCs w:val="20"/>
              </w:rPr>
              <w:t>Abschnitt</w:t>
            </w:r>
            <w:r>
              <w:rPr>
                <w:rFonts w:eastAsia="Calibri" w:cs="Arial"/>
                <w:sz w:val="20"/>
                <w:szCs w:val="20"/>
              </w:rPr>
              <w:t xml:space="preserve"> I</w:t>
            </w:r>
          </w:p>
          <w:p>
            <w:pPr>
              <w:tabs>
                <w:tab w:val="right" w:pos="284"/>
                <w:tab w:val="left" w:pos="454"/>
              </w:tabs>
              <w:spacing w:line="360" w:lineRule="auto"/>
              <w:rPr>
                <w:rFonts w:eastAsia="Calibri" w:cs="Arial"/>
                <w:b/>
                <w:sz w:val="20"/>
                <w:szCs w:val="20"/>
              </w:rPr>
            </w:pPr>
            <w:r>
              <w:rPr>
                <w:rFonts w:eastAsia="Calibri" w:cs="Arial"/>
                <w:b/>
                <w:sz w:val="20"/>
                <w:szCs w:val="20"/>
              </w:rPr>
              <w:t xml:space="preserve">Einführung in den Verwaltungsdienst </w:t>
            </w:r>
          </w:p>
        </w:tc>
      </w:tr>
      <w:tr>
        <w:tc>
          <w:tcPr>
            <w:tcW w:w="315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rPr>
                <w:rFonts w:eastAsia="Calibri" w:cs="Arial"/>
                <w:sz w:val="20"/>
                <w:szCs w:val="20"/>
              </w:rPr>
            </w:pPr>
            <w:r>
              <w:rPr>
                <w:rFonts w:eastAsia="Calibri" w:cs="Arial"/>
                <w:sz w:val="20"/>
                <w:szCs w:val="20"/>
              </w:rPr>
              <w:t>Ausbildungsabschnitt</w:t>
            </w:r>
          </w:p>
        </w:tc>
        <w:tc>
          <w:tcPr>
            <w:tcW w:w="1067"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jc w:val="center"/>
              <w:rPr>
                <w:rFonts w:eastAsia="Calibri" w:cs="Arial"/>
                <w:sz w:val="20"/>
                <w:szCs w:val="20"/>
              </w:rPr>
            </w:pPr>
            <w:r>
              <w:rPr>
                <w:rFonts w:eastAsia="Calibri" w:cs="Arial"/>
                <w:sz w:val="20"/>
                <w:szCs w:val="20"/>
              </w:rPr>
              <w:t>Zeitraum</w:t>
            </w:r>
          </w:p>
          <w:p>
            <w:pPr>
              <w:tabs>
                <w:tab w:val="right" w:pos="284"/>
                <w:tab w:val="left" w:pos="454"/>
              </w:tabs>
              <w:jc w:val="center"/>
              <w:rPr>
                <w:rFonts w:eastAsia="Calibri" w:cs="Arial"/>
                <w:sz w:val="20"/>
                <w:szCs w:val="20"/>
              </w:rPr>
            </w:pPr>
            <w:r>
              <w:rPr>
                <w:rFonts w:eastAsia="Calibri" w:cs="Arial"/>
                <w:sz w:val="20"/>
                <w:szCs w:val="20"/>
              </w:rPr>
              <w:t>(Monate)</w:t>
            </w:r>
          </w:p>
        </w:tc>
        <w:tc>
          <w:tcPr>
            <w:tcW w:w="5136"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jc w:val="center"/>
              <w:rPr>
                <w:rFonts w:eastAsia="Calibri" w:cs="Arial"/>
                <w:sz w:val="20"/>
                <w:szCs w:val="20"/>
              </w:rPr>
            </w:pPr>
            <w:r>
              <w:rPr>
                <w:rFonts w:eastAsia="Calibri" w:cs="Arial"/>
                <w:sz w:val="20"/>
                <w:szCs w:val="20"/>
              </w:rPr>
              <w:t>Bemerkungen</w:t>
            </w:r>
          </w:p>
        </w:tc>
      </w:tr>
      <w:tr>
        <w:tc>
          <w:tcPr>
            <w:tcW w:w="315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360" w:lineRule="auto"/>
              <w:rPr>
                <w:rFonts w:eastAsia="Calibri" w:cs="Arial"/>
                <w:sz w:val="20"/>
                <w:szCs w:val="20"/>
                <w:u w:val="single"/>
              </w:rPr>
            </w:pPr>
            <w:r>
              <w:rPr>
                <w:rFonts w:eastAsia="Calibri" w:cs="Arial"/>
                <w:sz w:val="20"/>
                <w:szCs w:val="20"/>
                <w:u w:val="single"/>
              </w:rPr>
              <w:t>A. Regierungs</w:t>
            </w:r>
            <w:r>
              <w:rPr>
                <w:rFonts w:eastAsia="Calibri" w:cs="Arial"/>
                <w:b/>
                <w:sz w:val="20"/>
                <w:szCs w:val="20"/>
                <w:u w:val="single"/>
              </w:rPr>
              <w:t>sekretä</w:t>
            </w:r>
            <w:r>
              <w:rPr>
                <w:rFonts w:eastAsia="Calibri" w:cs="Arial"/>
                <w:sz w:val="20"/>
                <w:szCs w:val="20"/>
                <w:u w:val="single"/>
              </w:rPr>
              <w:t>r-</w:t>
            </w:r>
            <w:r>
              <w:rPr>
                <w:rFonts w:eastAsia="Calibri" w:cs="Arial"/>
                <w:b/>
                <w:sz w:val="20"/>
                <w:szCs w:val="20"/>
                <w:u w:val="single"/>
              </w:rPr>
              <w:t>Anwärterinnen und -</w:t>
            </w:r>
            <w:r>
              <w:rPr>
                <w:rFonts w:eastAsia="Calibri" w:cs="Arial"/>
                <w:sz w:val="20"/>
                <w:szCs w:val="20"/>
                <w:u w:val="single"/>
              </w:rPr>
              <w:t>Anwärter</w:t>
            </w:r>
          </w:p>
          <w:p>
            <w:pPr>
              <w:tabs>
                <w:tab w:val="right" w:pos="284"/>
                <w:tab w:val="left" w:pos="454"/>
              </w:tabs>
              <w:spacing w:line="360" w:lineRule="auto"/>
              <w:rPr>
                <w:rFonts w:eastAsia="Calibri" w:cs="Arial"/>
                <w:sz w:val="20"/>
                <w:szCs w:val="20"/>
              </w:rPr>
            </w:pPr>
            <w:r>
              <w:rPr>
                <w:rFonts w:eastAsia="Calibri" w:cs="Arial"/>
                <w:sz w:val="20"/>
                <w:szCs w:val="20"/>
              </w:rPr>
              <w:t>Senatsverwaltung oder Sonderbehörde</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u w:val="single"/>
              </w:rPr>
            </w:pPr>
            <w:r>
              <w:rPr>
                <w:rFonts w:eastAsia="Calibri" w:cs="Arial"/>
                <w:sz w:val="20"/>
                <w:szCs w:val="20"/>
                <w:u w:val="single"/>
              </w:rPr>
              <w:t>B. Stadt</w:t>
            </w:r>
            <w:r>
              <w:rPr>
                <w:rFonts w:eastAsia="Calibri" w:cs="Arial"/>
                <w:b/>
                <w:sz w:val="20"/>
                <w:szCs w:val="20"/>
                <w:u w:val="single"/>
              </w:rPr>
              <w:t>sekretä</w:t>
            </w:r>
            <w:r>
              <w:rPr>
                <w:rFonts w:eastAsia="Calibri" w:cs="Arial"/>
                <w:sz w:val="20"/>
                <w:szCs w:val="20"/>
                <w:u w:val="single"/>
              </w:rPr>
              <w:t>r-</w:t>
            </w:r>
            <w:r>
              <w:rPr>
                <w:rFonts w:eastAsia="Calibri" w:cs="Arial"/>
                <w:b/>
                <w:sz w:val="20"/>
                <w:szCs w:val="20"/>
                <w:u w:val="single"/>
              </w:rPr>
              <w:t>Anwärterinnen und -</w:t>
            </w:r>
            <w:r>
              <w:rPr>
                <w:rFonts w:eastAsia="Calibri" w:cs="Arial"/>
                <w:sz w:val="20"/>
                <w:szCs w:val="20"/>
                <w:u w:val="single"/>
              </w:rPr>
              <w:t>Anwärter</w:t>
            </w:r>
          </w:p>
          <w:p>
            <w:pPr>
              <w:tabs>
                <w:tab w:val="right" w:pos="284"/>
                <w:tab w:val="left" w:pos="454"/>
              </w:tabs>
              <w:spacing w:line="360" w:lineRule="auto"/>
              <w:rPr>
                <w:rFonts w:eastAsia="Calibri" w:cs="Arial"/>
                <w:sz w:val="20"/>
                <w:szCs w:val="20"/>
              </w:rPr>
            </w:pPr>
            <w:r>
              <w:rPr>
                <w:rFonts w:eastAsia="Calibri" w:cs="Arial"/>
                <w:sz w:val="20"/>
                <w:szCs w:val="20"/>
              </w:rPr>
              <w:t>Abteilung der Bezirksverwaltung</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u w:val="single"/>
              </w:rPr>
            </w:pPr>
            <w:r>
              <w:rPr>
                <w:rFonts w:eastAsia="Calibri" w:cs="Arial"/>
                <w:sz w:val="20"/>
                <w:szCs w:val="20"/>
                <w:u w:val="single"/>
              </w:rPr>
              <w:t>C. Polizei</w:t>
            </w:r>
            <w:r>
              <w:rPr>
                <w:rFonts w:eastAsia="Calibri" w:cs="Arial"/>
                <w:b/>
                <w:sz w:val="20"/>
                <w:szCs w:val="20"/>
                <w:u w:val="single"/>
              </w:rPr>
              <w:t>sekretä</w:t>
            </w:r>
            <w:r>
              <w:rPr>
                <w:rFonts w:eastAsia="Calibri" w:cs="Arial"/>
                <w:sz w:val="20"/>
                <w:szCs w:val="20"/>
                <w:u w:val="single"/>
              </w:rPr>
              <w:t>r--</w:t>
            </w:r>
            <w:r>
              <w:rPr>
                <w:rFonts w:eastAsia="Calibri" w:cs="Arial"/>
                <w:b/>
                <w:sz w:val="20"/>
                <w:szCs w:val="20"/>
                <w:u w:val="single"/>
              </w:rPr>
              <w:t>Anwärterinnen und -</w:t>
            </w:r>
            <w:r>
              <w:rPr>
                <w:rFonts w:eastAsia="Calibri" w:cs="Arial"/>
                <w:sz w:val="20"/>
                <w:szCs w:val="20"/>
                <w:u w:val="single"/>
              </w:rPr>
              <w:t>Anwärter</w:t>
            </w:r>
          </w:p>
          <w:p>
            <w:pPr>
              <w:tabs>
                <w:tab w:val="right" w:pos="284"/>
                <w:tab w:val="left" w:pos="454"/>
              </w:tabs>
              <w:rPr>
                <w:rFonts w:eastAsia="Calibri" w:cs="Arial"/>
                <w:sz w:val="20"/>
                <w:szCs w:val="20"/>
              </w:rPr>
            </w:pPr>
            <w:r>
              <w:rPr>
                <w:rFonts w:eastAsia="Calibri" w:cs="Arial"/>
                <w:sz w:val="20"/>
                <w:szCs w:val="20"/>
              </w:rPr>
              <w:t>Polizeipräsident in Berlin</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left" w:pos="226"/>
                <w:tab w:val="right" w:pos="284"/>
              </w:tabs>
              <w:spacing w:line="360" w:lineRule="auto"/>
              <w:rPr>
                <w:rFonts w:eastAsia="Calibri" w:cs="Arial"/>
                <w:sz w:val="20"/>
                <w:szCs w:val="20"/>
                <w:u w:val="single"/>
              </w:rPr>
            </w:pPr>
            <w:r>
              <w:rPr>
                <w:rFonts w:eastAsia="Calibri" w:cs="Arial"/>
                <w:sz w:val="20"/>
                <w:szCs w:val="20"/>
                <w:u w:val="single"/>
              </w:rPr>
              <w:t>D. Universitäts</w:t>
            </w:r>
            <w:r>
              <w:rPr>
                <w:rFonts w:eastAsia="Calibri" w:cs="Arial"/>
                <w:b/>
                <w:sz w:val="20"/>
                <w:szCs w:val="20"/>
                <w:u w:val="single"/>
              </w:rPr>
              <w:t>verwaltungssekretä</w:t>
            </w:r>
            <w:r>
              <w:rPr>
                <w:rFonts w:eastAsia="Calibri" w:cs="Arial"/>
                <w:sz w:val="20"/>
                <w:szCs w:val="20"/>
                <w:u w:val="single"/>
              </w:rPr>
              <w:t>r--</w:t>
            </w:r>
            <w:r>
              <w:rPr>
                <w:rFonts w:eastAsia="Calibri" w:cs="Arial"/>
                <w:b/>
                <w:sz w:val="20"/>
                <w:szCs w:val="20"/>
                <w:u w:val="single"/>
              </w:rPr>
              <w:t>Anwärterinnen und -</w:t>
            </w:r>
            <w:r>
              <w:rPr>
                <w:rFonts w:eastAsia="Calibri" w:cs="Arial"/>
                <w:sz w:val="20"/>
                <w:szCs w:val="20"/>
                <w:u w:val="single"/>
              </w:rPr>
              <w:t>Anwärter</w:t>
            </w:r>
          </w:p>
          <w:p>
            <w:pPr>
              <w:tabs>
                <w:tab w:val="right" w:pos="284"/>
                <w:tab w:val="left" w:pos="454"/>
              </w:tabs>
              <w:spacing w:line="360" w:lineRule="auto"/>
              <w:rPr>
                <w:rFonts w:eastAsia="Calibri" w:cs="Arial"/>
                <w:sz w:val="20"/>
                <w:szCs w:val="20"/>
              </w:rPr>
            </w:pPr>
            <w:r>
              <w:rPr>
                <w:rFonts w:eastAsia="Calibri" w:cs="Arial"/>
                <w:sz w:val="20"/>
                <w:szCs w:val="20"/>
              </w:rPr>
              <w:t>FU Berlin</w:t>
            </w:r>
          </w:p>
          <w:p>
            <w:pPr>
              <w:tabs>
                <w:tab w:val="right" w:pos="284"/>
                <w:tab w:val="left" w:pos="454"/>
              </w:tabs>
              <w:spacing w:line="360" w:lineRule="auto"/>
              <w:rPr>
                <w:rFonts w:eastAsia="Calibri" w:cs="Arial"/>
                <w:b/>
                <w:sz w:val="20"/>
                <w:szCs w:val="20"/>
              </w:rPr>
            </w:pPr>
            <w:r>
              <w:rPr>
                <w:rFonts w:eastAsia="Calibri" w:cs="Arial"/>
                <w:b/>
                <w:sz w:val="20"/>
                <w:szCs w:val="20"/>
              </w:rPr>
              <w:t>HU Berlin</w:t>
            </w:r>
          </w:p>
          <w:p>
            <w:pPr>
              <w:tabs>
                <w:tab w:val="right" w:pos="284"/>
                <w:tab w:val="left" w:pos="454"/>
              </w:tabs>
              <w:spacing w:line="360" w:lineRule="auto"/>
              <w:rPr>
                <w:rFonts w:eastAsia="Calibri" w:cs="Arial"/>
                <w:sz w:val="20"/>
                <w:szCs w:val="20"/>
              </w:rPr>
            </w:pPr>
            <w:r>
              <w:rPr>
                <w:rFonts w:eastAsia="Calibri" w:cs="Arial"/>
                <w:sz w:val="20"/>
                <w:szCs w:val="20"/>
              </w:rPr>
              <w:t>TU Berlin</w:t>
            </w:r>
          </w:p>
        </w:tc>
        <w:tc>
          <w:tcPr>
            <w:tcW w:w="1067"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r>
              <w:rPr>
                <w:rFonts w:eastAsia="Calibri" w:cs="Arial"/>
                <w:sz w:val="20"/>
                <w:szCs w:val="20"/>
              </w:rPr>
              <w:t>3</w:t>
            </w: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r>
              <w:rPr>
                <w:rFonts w:eastAsia="Calibri" w:cs="Arial"/>
                <w:sz w:val="20"/>
                <w:szCs w:val="20"/>
              </w:rPr>
              <w:t>3</w:t>
            </w: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jc w:val="center"/>
              <w:rPr>
                <w:rFonts w:eastAsia="Calibri" w:cs="Arial"/>
                <w:sz w:val="20"/>
                <w:szCs w:val="20"/>
              </w:rPr>
            </w:pPr>
            <w:r>
              <w:rPr>
                <w:rFonts w:eastAsia="Calibri" w:cs="Arial"/>
                <w:sz w:val="20"/>
                <w:szCs w:val="20"/>
              </w:rPr>
              <w:t>3</w:t>
            </w: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r>
              <w:rPr>
                <w:rFonts w:eastAsia="Calibri" w:cs="Arial"/>
                <w:sz w:val="20"/>
                <w:szCs w:val="20"/>
              </w:rPr>
              <w:t>3</w:t>
            </w:r>
          </w:p>
          <w:p>
            <w:pPr>
              <w:tabs>
                <w:tab w:val="right" w:pos="284"/>
                <w:tab w:val="left" w:pos="454"/>
              </w:tabs>
              <w:spacing w:line="360" w:lineRule="auto"/>
              <w:jc w:val="center"/>
              <w:rPr>
                <w:rFonts w:eastAsia="Calibri" w:cs="Arial"/>
                <w:b/>
                <w:sz w:val="20"/>
                <w:szCs w:val="20"/>
              </w:rPr>
            </w:pPr>
            <w:r>
              <w:rPr>
                <w:rFonts w:eastAsia="Calibri" w:cs="Arial"/>
                <w:b/>
                <w:sz w:val="20"/>
                <w:szCs w:val="20"/>
              </w:rPr>
              <w:t>3</w:t>
            </w:r>
          </w:p>
          <w:p>
            <w:pPr>
              <w:tabs>
                <w:tab w:val="right" w:pos="284"/>
                <w:tab w:val="left" w:pos="454"/>
              </w:tabs>
              <w:spacing w:line="360" w:lineRule="auto"/>
              <w:jc w:val="center"/>
              <w:rPr>
                <w:rFonts w:eastAsia="Calibri" w:cs="Arial"/>
                <w:sz w:val="20"/>
                <w:szCs w:val="20"/>
              </w:rPr>
            </w:pPr>
            <w:r>
              <w:rPr>
                <w:rFonts w:eastAsia="Calibri" w:cs="Arial"/>
                <w:sz w:val="20"/>
                <w:szCs w:val="20"/>
              </w:rPr>
              <w:t>3</w:t>
            </w:r>
          </w:p>
        </w:tc>
        <w:tc>
          <w:tcPr>
            <w:tcW w:w="5136"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w:t>
            </w:r>
            <w:r>
              <w:rPr>
                <w:rFonts w:eastAsia="Calibri" w:cs="Arial"/>
                <w:b/>
                <w:sz w:val="20"/>
                <w:szCs w:val="20"/>
              </w:rPr>
              <w:t xml:space="preserve">Anwärterinnen und </w:t>
            </w:r>
            <w:r>
              <w:rPr>
                <w:rFonts w:eastAsia="Calibri" w:cs="Arial"/>
                <w:sz w:val="20"/>
                <w:szCs w:val="20"/>
              </w:rPr>
              <w:t>Anwärter sind in der Regel in solchen Ausbildungsstellen zu beschäftigen, in denen sie mit der Geschäftsordnung, insbesondere der Aktenführung, der Registratur, dem Geschäftsgang und den Grundsätzen der Büroarbeit bekannt gemacht werden und zu einfachem Schriftwechsel (nach Vordruck) herangezogen werden können.</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r>
              <w:rPr>
                <w:rFonts w:eastAsia="Calibri" w:cs="Arial"/>
                <w:sz w:val="20"/>
                <w:szCs w:val="20"/>
              </w:rPr>
              <w:t>Siehe unter A.</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rPr>
                <w:rFonts w:eastAsia="Calibri" w:cs="Arial"/>
                <w:sz w:val="20"/>
                <w:szCs w:val="20"/>
              </w:rPr>
            </w:pPr>
          </w:p>
          <w:p>
            <w:pPr>
              <w:tabs>
                <w:tab w:val="right" w:pos="284"/>
                <w:tab w:val="left" w:pos="454"/>
              </w:tabs>
              <w:rPr>
                <w:rFonts w:eastAsia="Calibri" w:cs="Arial"/>
                <w:sz w:val="20"/>
                <w:szCs w:val="20"/>
              </w:rPr>
            </w:pPr>
          </w:p>
          <w:p>
            <w:pPr>
              <w:tabs>
                <w:tab w:val="right" w:pos="284"/>
                <w:tab w:val="left" w:pos="454"/>
              </w:tabs>
              <w:rPr>
                <w:rFonts w:eastAsia="Calibri" w:cs="Arial"/>
                <w:sz w:val="20"/>
                <w:szCs w:val="20"/>
              </w:rPr>
            </w:pPr>
            <w:r>
              <w:rPr>
                <w:rFonts w:eastAsia="Calibri" w:cs="Arial"/>
                <w:sz w:val="20"/>
                <w:szCs w:val="20"/>
              </w:rPr>
              <w:t>Siehe unter A.</w:t>
            </w:r>
          </w:p>
          <w:p>
            <w:pPr>
              <w:tabs>
                <w:tab w:val="right" w:pos="284"/>
                <w:tab w:val="left" w:pos="454"/>
              </w:tabs>
              <w:rPr>
                <w:rFonts w:eastAsia="Calibri" w:cs="Arial"/>
                <w:sz w:val="20"/>
                <w:szCs w:val="20"/>
              </w:rPr>
            </w:pPr>
          </w:p>
          <w:p>
            <w:pPr>
              <w:tabs>
                <w:tab w:val="right" w:pos="284"/>
                <w:tab w:val="left" w:pos="454"/>
              </w:tabs>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Siehe unter A. Die </w:t>
            </w:r>
            <w:r>
              <w:rPr>
                <w:rFonts w:eastAsia="Calibri" w:cs="Arial"/>
                <w:b/>
                <w:sz w:val="20"/>
                <w:szCs w:val="20"/>
              </w:rPr>
              <w:t xml:space="preserve">Anwärterinnen und </w:t>
            </w:r>
            <w:r>
              <w:rPr>
                <w:rFonts w:eastAsia="Calibri" w:cs="Arial"/>
                <w:sz w:val="20"/>
                <w:szCs w:val="20"/>
              </w:rPr>
              <w:t>Anwärter sollen darüber hinaus mit dem Aufbau und den Aufgaben der Hochschulen vertraut gemacht werden.</w:t>
            </w:r>
          </w:p>
        </w:tc>
      </w:tr>
      <w:tr>
        <w:tc>
          <w:tcPr>
            <w:tcW w:w="9355" w:type="dxa"/>
            <w:gridSpan w:val="3"/>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line="276" w:lineRule="auto"/>
              <w:rPr>
                <w:rFonts w:eastAsia="Calibri" w:cs="Arial"/>
                <w:sz w:val="20"/>
                <w:szCs w:val="20"/>
              </w:rPr>
            </w:pPr>
            <w:r>
              <w:rPr>
                <w:rFonts w:eastAsia="Calibri" w:cs="Arial"/>
                <w:spacing w:val="40"/>
                <w:sz w:val="20"/>
                <w:szCs w:val="20"/>
              </w:rPr>
              <w:t>Abschnitt</w:t>
            </w:r>
            <w:r>
              <w:rPr>
                <w:rFonts w:eastAsia="Calibri" w:cs="Arial"/>
                <w:sz w:val="20"/>
                <w:szCs w:val="20"/>
              </w:rPr>
              <w:t xml:space="preserve"> II</w:t>
            </w:r>
          </w:p>
          <w:p>
            <w:pPr>
              <w:tabs>
                <w:tab w:val="right" w:pos="284"/>
                <w:tab w:val="left" w:pos="454"/>
              </w:tabs>
              <w:spacing w:line="360" w:lineRule="auto"/>
              <w:rPr>
                <w:rFonts w:eastAsia="Calibri" w:cs="Arial"/>
                <w:b/>
                <w:sz w:val="20"/>
                <w:szCs w:val="20"/>
              </w:rPr>
            </w:pPr>
            <w:r>
              <w:rPr>
                <w:rFonts w:eastAsia="Calibri" w:cs="Arial"/>
                <w:b/>
                <w:sz w:val="20"/>
                <w:szCs w:val="20"/>
              </w:rPr>
              <w:t xml:space="preserve">Allgemeiner Ausbildungsplan </w:t>
            </w:r>
          </w:p>
        </w:tc>
      </w:tr>
      <w:tr>
        <w:tc>
          <w:tcPr>
            <w:tcW w:w="315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rPr>
                <w:rFonts w:eastAsia="Calibri" w:cs="Arial"/>
                <w:sz w:val="20"/>
                <w:szCs w:val="20"/>
              </w:rPr>
            </w:pPr>
            <w:r>
              <w:rPr>
                <w:rFonts w:eastAsia="Calibri" w:cs="Arial"/>
                <w:sz w:val="20"/>
                <w:szCs w:val="20"/>
              </w:rPr>
              <w:t>Ausbildungsabschnitt</w:t>
            </w:r>
          </w:p>
        </w:tc>
        <w:tc>
          <w:tcPr>
            <w:tcW w:w="1067"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rPr>
                <w:rFonts w:eastAsia="Calibri" w:cs="Arial"/>
                <w:sz w:val="20"/>
                <w:szCs w:val="20"/>
              </w:rPr>
            </w:pPr>
            <w:r>
              <w:rPr>
                <w:rFonts w:eastAsia="Calibri" w:cs="Arial"/>
                <w:sz w:val="20"/>
                <w:szCs w:val="20"/>
              </w:rPr>
              <w:t>Zeitraum</w:t>
            </w:r>
          </w:p>
          <w:p>
            <w:pPr>
              <w:tabs>
                <w:tab w:val="right" w:pos="284"/>
                <w:tab w:val="left" w:pos="454"/>
              </w:tabs>
              <w:rPr>
                <w:rFonts w:eastAsia="Calibri" w:cs="Arial"/>
                <w:sz w:val="20"/>
                <w:szCs w:val="20"/>
              </w:rPr>
            </w:pPr>
            <w:r>
              <w:rPr>
                <w:rFonts w:eastAsia="Calibri" w:cs="Arial"/>
                <w:sz w:val="20"/>
                <w:szCs w:val="20"/>
              </w:rPr>
              <w:t>(Monate)</w:t>
            </w:r>
          </w:p>
        </w:tc>
        <w:tc>
          <w:tcPr>
            <w:tcW w:w="5136"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jc w:val="center"/>
              <w:rPr>
                <w:rFonts w:eastAsia="Calibri" w:cs="Arial"/>
                <w:sz w:val="20"/>
                <w:szCs w:val="20"/>
              </w:rPr>
            </w:pPr>
            <w:r>
              <w:rPr>
                <w:rFonts w:eastAsia="Calibri" w:cs="Arial"/>
                <w:sz w:val="20"/>
                <w:szCs w:val="20"/>
              </w:rPr>
              <w:t>Bemerkungen</w:t>
            </w:r>
          </w:p>
        </w:tc>
      </w:tr>
      <w:tr>
        <w:trPr>
          <w:trHeight w:val="14449"/>
        </w:trPr>
        <w:tc>
          <w:tcPr>
            <w:tcW w:w="315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360" w:lineRule="auto"/>
              <w:rPr>
                <w:rFonts w:eastAsia="Calibri" w:cs="Arial"/>
                <w:sz w:val="20"/>
                <w:szCs w:val="20"/>
                <w:u w:val="single"/>
              </w:rPr>
            </w:pPr>
            <w:r>
              <w:rPr>
                <w:rFonts w:eastAsia="Calibri" w:cs="Arial"/>
                <w:sz w:val="20"/>
                <w:szCs w:val="20"/>
                <w:u w:val="single"/>
              </w:rPr>
              <w:lastRenderedPageBreak/>
              <w:t>A. Regierungs</w:t>
            </w:r>
            <w:r>
              <w:rPr>
                <w:rFonts w:eastAsia="Calibri" w:cs="Arial"/>
                <w:b/>
                <w:sz w:val="20"/>
                <w:szCs w:val="20"/>
                <w:u w:val="single"/>
              </w:rPr>
              <w:t>sekretär</w:t>
            </w:r>
            <w:r>
              <w:rPr>
                <w:rFonts w:eastAsia="Calibri" w:cs="Arial"/>
                <w:sz w:val="20"/>
                <w:szCs w:val="20"/>
                <w:u w:val="single"/>
              </w:rPr>
              <w:t>--</w:t>
            </w:r>
            <w:r>
              <w:rPr>
                <w:rFonts w:eastAsia="Calibri" w:cs="Arial"/>
                <w:b/>
                <w:sz w:val="20"/>
                <w:szCs w:val="20"/>
                <w:u w:val="single"/>
              </w:rPr>
              <w:t>Anwärterinnen und -</w:t>
            </w:r>
            <w:r>
              <w:rPr>
                <w:rFonts w:eastAsia="Calibri" w:cs="Arial"/>
                <w:sz w:val="20"/>
                <w:szCs w:val="20"/>
                <w:u w:val="single"/>
              </w:rPr>
              <w:t>Anwärter</w:t>
            </w:r>
          </w:p>
          <w:p>
            <w:pPr>
              <w:tabs>
                <w:tab w:val="right" w:pos="284"/>
                <w:tab w:val="left" w:pos="454"/>
              </w:tabs>
              <w:spacing w:line="276" w:lineRule="auto"/>
              <w:rPr>
                <w:rFonts w:eastAsia="Calibri" w:cs="Arial"/>
                <w:sz w:val="20"/>
                <w:szCs w:val="20"/>
              </w:rPr>
            </w:pPr>
            <w:r>
              <w:rPr>
                <w:rFonts w:eastAsia="Calibri" w:cs="Arial"/>
                <w:sz w:val="20"/>
                <w:szCs w:val="20"/>
              </w:rPr>
              <w:t>Senatsverwaltung oder Sonderbehörde oder sonstige geeignete Einrichtung</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Landeshauptkasse</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Bezirksverwaltung </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Senatsverwaltung oder Sonderbehörde oder sonstige geeignete Einrichtung</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u w:val="single"/>
              </w:rPr>
            </w:pPr>
            <w:r>
              <w:rPr>
                <w:rFonts w:eastAsia="Calibri" w:cs="Arial"/>
                <w:sz w:val="20"/>
                <w:szCs w:val="20"/>
                <w:u w:val="single"/>
              </w:rPr>
              <w:t>B. Stadt</w:t>
            </w:r>
            <w:r>
              <w:rPr>
                <w:rFonts w:eastAsia="Calibri" w:cs="Arial"/>
                <w:b/>
                <w:sz w:val="20"/>
                <w:szCs w:val="20"/>
                <w:u w:val="single"/>
              </w:rPr>
              <w:t>sekretär</w:t>
            </w:r>
            <w:r>
              <w:rPr>
                <w:rFonts w:eastAsia="Calibri" w:cs="Arial"/>
                <w:sz w:val="20"/>
                <w:szCs w:val="20"/>
                <w:u w:val="single"/>
              </w:rPr>
              <w:t>-</w:t>
            </w:r>
            <w:r>
              <w:rPr>
                <w:rFonts w:eastAsia="Calibri" w:cs="Arial"/>
                <w:b/>
                <w:sz w:val="20"/>
                <w:szCs w:val="20"/>
                <w:u w:val="single"/>
              </w:rPr>
              <w:t>Anwärterinnen und –</w:t>
            </w:r>
            <w:r>
              <w:rPr>
                <w:rFonts w:eastAsia="Calibri" w:cs="Arial"/>
                <w:sz w:val="20"/>
                <w:szCs w:val="20"/>
                <w:u w:val="single"/>
              </w:rPr>
              <w:t>Anwärter</w:t>
            </w:r>
          </w:p>
          <w:p>
            <w:pPr>
              <w:tabs>
                <w:tab w:val="right" w:pos="284"/>
                <w:tab w:val="left" w:pos="454"/>
              </w:tabs>
              <w:spacing w:line="276" w:lineRule="auto"/>
              <w:rPr>
                <w:rFonts w:eastAsia="Calibri" w:cs="Arial"/>
                <w:sz w:val="20"/>
                <w:szCs w:val="20"/>
              </w:rPr>
            </w:pPr>
            <w:r>
              <w:rPr>
                <w:rFonts w:eastAsia="Calibri" w:cs="Arial"/>
                <w:sz w:val="20"/>
                <w:szCs w:val="20"/>
              </w:rPr>
              <w:t>Serviceeinheit Personal oder Personal und Finanzen oder Bereich Innere Dienste innerhalb eines Fachamtes</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Abteilung mit Aufgaben des Haushaltswesens</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Sonstige Abteilungen</w:t>
            </w: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Senatsverwaltung oder Sonderbehörde</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tc>
        <w:tc>
          <w:tcPr>
            <w:tcW w:w="1067"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3-4</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1-2</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r>
              <w:rPr>
                <w:rFonts w:eastAsia="Calibri" w:cs="Arial"/>
                <w:sz w:val="20"/>
                <w:szCs w:val="20"/>
              </w:rPr>
              <w:t>6</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10-12</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3-4</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3-4</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11-13</w:t>
            </w:r>
          </w:p>
          <w:p>
            <w:pPr>
              <w:tabs>
                <w:tab w:val="right" w:pos="284"/>
                <w:tab w:val="left" w:pos="454"/>
              </w:tabs>
              <w:spacing w:line="276"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3</w:t>
            </w:r>
          </w:p>
          <w:p>
            <w:pPr>
              <w:tabs>
                <w:tab w:val="right" w:pos="284"/>
                <w:tab w:val="left" w:pos="454"/>
              </w:tabs>
              <w:spacing w:line="276" w:lineRule="auto"/>
              <w:jc w:val="center"/>
              <w:rPr>
                <w:rFonts w:eastAsia="Calibri" w:cs="Arial"/>
                <w:sz w:val="20"/>
                <w:szCs w:val="20"/>
              </w:rPr>
            </w:pPr>
          </w:p>
        </w:tc>
        <w:tc>
          <w:tcPr>
            <w:tcW w:w="5136"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Ausbildung ist in einer Personalstelle oder </w:t>
            </w:r>
            <w:r>
              <w:rPr>
                <w:rFonts w:eastAsia="Calibri" w:cs="Arial"/>
                <w:b/>
                <w:sz w:val="20"/>
                <w:szCs w:val="20"/>
              </w:rPr>
              <w:t>im Bereich Personalservice bzw. Versorgung und Beihilfe</w:t>
            </w:r>
            <w:r>
              <w:rPr>
                <w:rFonts w:eastAsia="Calibri" w:cs="Arial"/>
                <w:sz w:val="20"/>
                <w:szCs w:val="20"/>
              </w:rPr>
              <w:t xml:space="preserve"> des Landesverwaltungsamtes Berlin durchzuführen.</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w:t>
            </w:r>
            <w:r>
              <w:rPr>
                <w:rFonts w:eastAsia="Calibri" w:cs="Arial"/>
                <w:b/>
                <w:sz w:val="20"/>
                <w:szCs w:val="20"/>
              </w:rPr>
              <w:t xml:space="preserve">Anwärterinnen und </w:t>
            </w:r>
            <w:r>
              <w:rPr>
                <w:rFonts w:eastAsia="Calibri" w:cs="Arial"/>
                <w:sz w:val="20"/>
                <w:szCs w:val="20"/>
              </w:rPr>
              <w:t>Anwärter sollen einen Überblick über die wesentlichen Aufgaben des Kassenwesens erhalten. Ersatzweise ist eine mehrtägige Hospitation mit zentralen Unterrichtsveranstaltungen an der Landeshauptkasse möglich</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w:t>
            </w:r>
            <w:r>
              <w:rPr>
                <w:rFonts w:eastAsia="Calibri" w:cs="Arial"/>
                <w:b/>
                <w:sz w:val="20"/>
                <w:szCs w:val="20"/>
              </w:rPr>
              <w:t xml:space="preserve">Anwärterinnen und </w:t>
            </w:r>
            <w:r>
              <w:rPr>
                <w:rFonts w:eastAsia="Calibri" w:cs="Arial"/>
                <w:sz w:val="20"/>
                <w:szCs w:val="20"/>
              </w:rPr>
              <w:t>Anwärter sollen in mindestens zwei Abteilungen ausgebildet und während dieser Ausbildung insbesondere auf die bezirkseigenen Angelegenheiten hingewiesen werden. Sie sind nach Möglichkeit in das Bezirksamt ihres Wohnbezirks abzuordnen.</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w:t>
            </w:r>
            <w:r>
              <w:rPr>
                <w:rFonts w:eastAsia="Calibri" w:cs="Arial"/>
                <w:b/>
                <w:sz w:val="20"/>
                <w:szCs w:val="20"/>
              </w:rPr>
              <w:t xml:space="preserve">Anwärterinnen und </w:t>
            </w:r>
            <w:r>
              <w:rPr>
                <w:rFonts w:eastAsia="Calibri" w:cs="Arial"/>
                <w:sz w:val="20"/>
                <w:szCs w:val="20"/>
              </w:rPr>
              <w:t>Anwärter sind in mindestens drei verschiedenen Fachverwaltungen bzw. nachgeordneten Einrichtungen auszubilden und möglichst nicht mit der Führung von Personalakten und Kassenangelegenheiten zu beschäftigen.</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w:t>
            </w:r>
            <w:r>
              <w:rPr>
                <w:rFonts w:eastAsia="Calibri" w:cs="Arial"/>
                <w:b/>
                <w:sz w:val="20"/>
                <w:szCs w:val="20"/>
              </w:rPr>
              <w:t xml:space="preserve">Anwärterinnen und </w:t>
            </w:r>
            <w:r>
              <w:rPr>
                <w:rFonts w:eastAsia="Calibri" w:cs="Arial"/>
                <w:sz w:val="20"/>
                <w:szCs w:val="20"/>
              </w:rPr>
              <w:t xml:space="preserve">Anwärter sind mit Personalangelegenheiten zu beschäftigen. </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w:t>
            </w:r>
            <w:r>
              <w:rPr>
                <w:rFonts w:eastAsia="Calibri" w:cs="Arial"/>
                <w:b/>
                <w:sz w:val="20"/>
                <w:szCs w:val="20"/>
              </w:rPr>
              <w:t xml:space="preserve">Anwärterinnen und </w:t>
            </w:r>
            <w:r>
              <w:rPr>
                <w:rFonts w:eastAsia="Calibri" w:cs="Arial"/>
                <w:sz w:val="20"/>
                <w:szCs w:val="20"/>
              </w:rPr>
              <w:t>Anwärter sollen einen Überblick über die wesentlichen Aufgaben des Haushaltswesens erhalten. Sie sollen auch in der Bezirkskasse ausgebildet werden.</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Die Anwärterinnen und Anwärter sind in mindestens drei verschiedenen Abteilungen auszubilden.</w:t>
            </w: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Anwärterinnen und Anwärter sollen in einer Fachverwaltung oder geeigneten Sonderbehörde mit fachspezifischen Aufgaben des zweiten Einstiegsamts der Laufbahngruppe 1 beschäftigt werden. Sie sollen möglichst nicht mit Personalangelegenheiten beschäftigt werden. </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tc>
      </w:tr>
      <w:tr>
        <w:trPr>
          <w:trHeight w:val="7651"/>
        </w:trPr>
        <w:tc>
          <w:tcPr>
            <w:tcW w:w="3152" w:type="dxa"/>
            <w:tcBorders>
              <w:top w:val="single" w:sz="4" w:space="0" w:color="auto"/>
              <w:left w:val="single" w:sz="4" w:space="0" w:color="auto"/>
              <w:bottom w:val="nil"/>
              <w:right w:val="single" w:sz="4" w:space="0" w:color="auto"/>
            </w:tcBorders>
          </w:tcPr>
          <w:p>
            <w:pPr>
              <w:tabs>
                <w:tab w:val="right" w:pos="284"/>
                <w:tab w:val="left" w:pos="454"/>
              </w:tabs>
              <w:spacing w:line="360" w:lineRule="auto"/>
              <w:rPr>
                <w:rFonts w:eastAsia="Calibri" w:cs="Arial"/>
                <w:sz w:val="20"/>
                <w:szCs w:val="20"/>
                <w:u w:val="single"/>
              </w:rPr>
            </w:pPr>
            <w:r>
              <w:rPr>
                <w:rFonts w:eastAsia="Calibri" w:cs="Arial"/>
                <w:sz w:val="20"/>
                <w:szCs w:val="20"/>
                <w:u w:val="single"/>
              </w:rPr>
              <w:lastRenderedPageBreak/>
              <w:t>C. Polizei</w:t>
            </w:r>
            <w:r>
              <w:rPr>
                <w:rFonts w:eastAsia="Calibri" w:cs="Arial"/>
                <w:b/>
                <w:sz w:val="20"/>
                <w:szCs w:val="20"/>
                <w:u w:val="single"/>
              </w:rPr>
              <w:t>sekretär</w:t>
            </w:r>
            <w:r>
              <w:rPr>
                <w:rFonts w:eastAsia="Calibri" w:cs="Arial"/>
                <w:sz w:val="20"/>
                <w:szCs w:val="20"/>
                <w:u w:val="single"/>
              </w:rPr>
              <w:t>-</w:t>
            </w:r>
            <w:r>
              <w:rPr>
                <w:rFonts w:eastAsia="Calibri" w:cs="Arial"/>
                <w:b/>
                <w:sz w:val="20"/>
                <w:szCs w:val="20"/>
                <w:u w:val="single"/>
              </w:rPr>
              <w:t>Anwärterinnen und -anwärter</w:t>
            </w:r>
            <w:r>
              <w:rPr>
                <w:rFonts w:eastAsia="Calibri" w:cs="Arial"/>
                <w:sz w:val="20"/>
                <w:szCs w:val="20"/>
                <w:u w:val="single"/>
              </w:rPr>
              <w:t xml:space="preserve"> </w:t>
            </w:r>
          </w:p>
          <w:p>
            <w:pPr>
              <w:tabs>
                <w:tab w:val="right" w:pos="284"/>
                <w:tab w:val="left" w:pos="454"/>
              </w:tabs>
              <w:spacing w:line="276" w:lineRule="auto"/>
              <w:rPr>
                <w:rFonts w:eastAsia="Calibri" w:cs="Arial"/>
                <w:sz w:val="20"/>
                <w:szCs w:val="20"/>
              </w:rPr>
            </w:pPr>
            <w:r>
              <w:rPr>
                <w:rFonts w:eastAsia="Calibri" w:cs="Arial"/>
                <w:sz w:val="20"/>
                <w:szCs w:val="20"/>
              </w:rPr>
              <w:t>Polizeipräsident in Berlin</w:t>
            </w:r>
          </w:p>
          <w:p>
            <w:pPr>
              <w:tabs>
                <w:tab w:val="left" w:pos="172"/>
                <w:tab w:val="right" w:pos="284"/>
                <w:tab w:val="left" w:pos="454"/>
              </w:tabs>
              <w:spacing w:line="276" w:lineRule="auto"/>
              <w:rPr>
                <w:rFonts w:eastAsia="Calibri" w:cs="Arial"/>
                <w:b/>
                <w:sz w:val="20"/>
                <w:szCs w:val="20"/>
              </w:rPr>
            </w:pPr>
            <w:r>
              <w:rPr>
                <w:rFonts w:eastAsia="Calibri" w:cs="Arial"/>
                <w:b/>
                <w:sz w:val="20"/>
                <w:szCs w:val="20"/>
              </w:rPr>
              <w:t>erster Teilabschnitt</w:t>
            </w:r>
          </w:p>
          <w:p>
            <w:pPr>
              <w:tabs>
                <w:tab w:val="right" w:pos="284"/>
                <w:tab w:val="left" w:pos="454"/>
              </w:tabs>
              <w:spacing w:line="360" w:lineRule="auto"/>
              <w:rPr>
                <w:rFonts w:eastAsia="Calibri" w:cs="Arial"/>
                <w:sz w:val="20"/>
                <w:szCs w:val="20"/>
              </w:rPr>
            </w:pPr>
          </w:p>
          <w:p>
            <w:pPr>
              <w:tabs>
                <w:tab w:val="left" w:pos="172"/>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b/>
                <w:sz w:val="20"/>
                <w:szCs w:val="20"/>
              </w:rPr>
            </w:pPr>
            <w:r>
              <w:rPr>
                <w:rFonts w:eastAsia="Calibri" w:cs="Arial"/>
                <w:b/>
                <w:sz w:val="20"/>
                <w:szCs w:val="20"/>
              </w:rPr>
              <w:t>zweiter Teilabschnitt</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b/>
                <w:sz w:val="20"/>
                <w:szCs w:val="20"/>
              </w:rPr>
            </w:pPr>
            <w:r>
              <w:rPr>
                <w:rFonts w:eastAsia="Calibri" w:cs="Arial"/>
                <w:b/>
                <w:sz w:val="20"/>
                <w:szCs w:val="20"/>
              </w:rPr>
              <w:t>dritter Teilabschnitt</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b/>
                <w:sz w:val="20"/>
                <w:szCs w:val="20"/>
              </w:rPr>
            </w:pPr>
            <w:r>
              <w:rPr>
                <w:rFonts w:eastAsia="Calibri" w:cs="Arial"/>
                <w:b/>
                <w:sz w:val="20"/>
                <w:szCs w:val="20"/>
              </w:rPr>
              <w:t>vierter Teilabschnitt</w:t>
            </w:r>
          </w:p>
          <w:p>
            <w:pPr>
              <w:tabs>
                <w:tab w:val="left" w:pos="172"/>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left" w:pos="172"/>
                <w:tab w:val="right" w:pos="284"/>
                <w:tab w:val="left" w:pos="454"/>
              </w:tabs>
              <w:spacing w:line="276" w:lineRule="auto"/>
              <w:rPr>
                <w:rFonts w:eastAsia="Calibri" w:cs="Arial"/>
                <w:sz w:val="20"/>
                <w:szCs w:val="20"/>
                <w:u w:val="single"/>
              </w:rPr>
            </w:pPr>
            <w:r>
              <w:rPr>
                <w:rFonts w:eastAsia="Calibri" w:cs="Arial"/>
                <w:sz w:val="20"/>
                <w:szCs w:val="20"/>
              </w:rPr>
              <w:t>D.</w:t>
            </w:r>
            <w:r>
              <w:rPr>
                <w:rFonts w:eastAsia="Calibri" w:cs="Arial"/>
                <w:sz w:val="20"/>
                <w:szCs w:val="20"/>
              </w:rPr>
              <w:tab/>
            </w:r>
            <w:r>
              <w:rPr>
                <w:rFonts w:eastAsia="Calibri" w:cs="Arial"/>
                <w:sz w:val="20"/>
                <w:szCs w:val="20"/>
                <w:u w:val="single"/>
              </w:rPr>
              <w:t>Universitätsverwaltungs</w:t>
            </w:r>
            <w:r>
              <w:rPr>
                <w:rFonts w:eastAsia="Calibri" w:cs="Arial"/>
                <w:b/>
                <w:sz w:val="20"/>
                <w:szCs w:val="20"/>
                <w:u w:val="single"/>
              </w:rPr>
              <w:t>sekretä</w:t>
            </w:r>
            <w:r>
              <w:rPr>
                <w:rFonts w:eastAsia="Calibri" w:cs="Arial"/>
                <w:sz w:val="20"/>
                <w:szCs w:val="20"/>
                <w:u w:val="single"/>
              </w:rPr>
              <w:t>r-</w:t>
            </w:r>
          </w:p>
          <w:p>
            <w:pPr>
              <w:tabs>
                <w:tab w:val="left" w:pos="172"/>
                <w:tab w:val="right" w:pos="284"/>
                <w:tab w:val="left" w:pos="454"/>
              </w:tabs>
              <w:spacing w:line="360" w:lineRule="auto"/>
              <w:rPr>
                <w:rFonts w:eastAsia="Calibri" w:cs="Arial"/>
                <w:b/>
                <w:sz w:val="20"/>
                <w:szCs w:val="20"/>
                <w:u w:val="single"/>
              </w:rPr>
            </w:pPr>
            <w:r>
              <w:rPr>
                <w:rFonts w:eastAsia="Calibri" w:cs="Arial"/>
                <w:b/>
                <w:sz w:val="20"/>
                <w:szCs w:val="20"/>
                <w:u w:val="single"/>
              </w:rPr>
              <w:t>Anwärterin und -Anwärter</w:t>
            </w:r>
          </w:p>
          <w:p>
            <w:pPr>
              <w:tabs>
                <w:tab w:val="left" w:pos="172"/>
                <w:tab w:val="right" w:pos="284"/>
                <w:tab w:val="left" w:pos="454"/>
              </w:tabs>
              <w:spacing w:line="360" w:lineRule="auto"/>
              <w:rPr>
                <w:rFonts w:eastAsia="Calibri" w:cs="Arial"/>
                <w:sz w:val="20"/>
                <w:szCs w:val="20"/>
              </w:rPr>
            </w:pPr>
            <w:r>
              <w:rPr>
                <w:rFonts w:eastAsia="Calibri" w:cs="Arial"/>
                <w:sz w:val="20"/>
                <w:szCs w:val="20"/>
              </w:rPr>
              <w:t>Abteilung für Personalangelegenheiten</w:t>
            </w:r>
          </w:p>
          <w:p>
            <w:pPr>
              <w:tabs>
                <w:tab w:val="left" w:pos="172"/>
                <w:tab w:val="right" w:pos="284"/>
                <w:tab w:val="left" w:pos="454"/>
              </w:tabs>
              <w:spacing w:line="360" w:lineRule="auto"/>
              <w:rPr>
                <w:rFonts w:eastAsia="Calibri" w:cs="Arial"/>
                <w:sz w:val="20"/>
                <w:szCs w:val="20"/>
              </w:rPr>
            </w:pPr>
          </w:p>
        </w:tc>
        <w:tc>
          <w:tcPr>
            <w:tcW w:w="1067" w:type="dxa"/>
            <w:tcBorders>
              <w:top w:val="single" w:sz="4" w:space="0" w:color="auto"/>
              <w:left w:val="single" w:sz="4" w:space="0" w:color="auto"/>
              <w:bottom w:val="nil"/>
              <w:right w:val="single" w:sz="4" w:space="0" w:color="auto"/>
            </w:tcBorders>
          </w:tcPr>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3-4</w:t>
            </w:r>
          </w:p>
          <w:p>
            <w:pPr>
              <w:tabs>
                <w:tab w:val="right" w:pos="284"/>
                <w:tab w:val="left" w:pos="454"/>
              </w:tabs>
              <w:spacing w:line="360" w:lineRule="auto"/>
              <w:jc w:val="center"/>
              <w:rPr>
                <w:rFonts w:eastAsia="Calibri" w:cs="Arial"/>
                <w:sz w:val="20"/>
                <w:szCs w:val="20"/>
              </w:rPr>
            </w:pPr>
          </w:p>
          <w:p>
            <w:pPr>
              <w:tabs>
                <w:tab w:val="right" w:pos="284"/>
                <w:tab w:val="left" w:pos="454"/>
              </w:tabs>
              <w:spacing w:line="360"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1-2</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6-7</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10-11</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jc w:val="center"/>
              <w:rPr>
                <w:rFonts w:eastAsia="Calibri" w:cs="Arial"/>
                <w:sz w:val="20"/>
                <w:szCs w:val="20"/>
              </w:rPr>
            </w:pPr>
            <w:r>
              <w:rPr>
                <w:rFonts w:eastAsia="Calibri" w:cs="Arial"/>
                <w:sz w:val="20"/>
                <w:szCs w:val="20"/>
              </w:rPr>
              <w:t>4-5</w:t>
            </w:r>
          </w:p>
        </w:tc>
        <w:tc>
          <w:tcPr>
            <w:tcW w:w="5136" w:type="dxa"/>
            <w:tcBorders>
              <w:top w:val="single" w:sz="4" w:space="0" w:color="auto"/>
              <w:left w:val="single" w:sz="4" w:space="0" w:color="auto"/>
              <w:bottom w:val="nil"/>
              <w:right w:val="single" w:sz="4" w:space="0" w:color="auto"/>
            </w:tcBorders>
          </w:tcPr>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Anwärterinnen und Anwärter sind im Bereich </w:t>
            </w:r>
            <w:r>
              <w:rPr>
                <w:rFonts w:eastAsia="Calibri" w:cs="Arial"/>
                <w:b/>
                <w:sz w:val="20"/>
                <w:szCs w:val="20"/>
              </w:rPr>
              <w:t>Personal</w:t>
            </w:r>
            <w:r>
              <w:rPr>
                <w:rFonts w:eastAsia="Calibri" w:cs="Arial"/>
                <w:sz w:val="20"/>
                <w:szCs w:val="20"/>
              </w:rPr>
              <w:t xml:space="preserve"> zu beschäftigten.</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Anwärterinnen und Anwärter sollen einen Überblick über die wesentlichen Aufgaben </w:t>
            </w:r>
            <w:r>
              <w:rPr>
                <w:rFonts w:eastAsia="Calibri" w:cs="Arial"/>
                <w:b/>
                <w:sz w:val="20"/>
                <w:szCs w:val="20"/>
              </w:rPr>
              <w:t xml:space="preserve">im Themenbereich Haushalt/Beschaffung/Versorgung </w:t>
            </w:r>
            <w:r>
              <w:rPr>
                <w:rFonts w:eastAsia="Calibri" w:cs="Arial"/>
                <w:sz w:val="20"/>
                <w:szCs w:val="20"/>
              </w:rPr>
              <w:t>erhalten.</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Anwärterinnen und Anwärter sind in zwei Fachreferaten mit </w:t>
            </w:r>
            <w:r>
              <w:rPr>
                <w:rFonts w:eastAsia="Calibri" w:cs="Arial"/>
                <w:b/>
                <w:sz w:val="20"/>
                <w:szCs w:val="20"/>
              </w:rPr>
              <w:t xml:space="preserve">innerbehördlichen Serviceaufgaben </w:t>
            </w:r>
            <w:r>
              <w:rPr>
                <w:rFonts w:eastAsia="Calibri" w:cs="Arial"/>
                <w:sz w:val="20"/>
                <w:szCs w:val="20"/>
              </w:rPr>
              <w:t>vertraut zu machen.</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Anwärterinnen und Anwärter sollen in drei verschiedenen Dienststellen ausgebildet werden. In mindestens einer Dienststelle sind sie mit der Bearbeitung von Ordnungsaufgaben vertraut zu machen. Im </w:t>
            </w:r>
            <w:r>
              <w:rPr>
                <w:rFonts w:eastAsia="Calibri" w:cs="Arial"/>
                <w:b/>
                <w:sz w:val="20"/>
                <w:szCs w:val="20"/>
              </w:rPr>
              <w:t>Ü</w:t>
            </w:r>
            <w:r>
              <w:rPr>
                <w:rFonts w:eastAsia="Calibri" w:cs="Arial"/>
                <w:sz w:val="20"/>
                <w:szCs w:val="20"/>
              </w:rPr>
              <w:t xml:space="preserve">brigen sollen die Zusammenhänge polizeilicher Verwaltungs- und Vollzugstätigkeit vermittelt werden. </w:t>
            </w:r>
          </w:p>
          <w:p>
            <w:pPr>
              <w:tabs>
                <w:tab w:val="right" w:pos="284"/>
                <w:tab w:val="left" w:pos="454"/>
              </w:tabs>
              <w:spacing w:line="276" w:lineRule="auto"/>
              <w:jc w:val="center"/>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Die Anwärterinnen und Anwärter sind in einer Personal- oder Personalwirtschaftsstelle zu beschäftigen.</w:t>
            </w:r>
          </w:p>
        </w:tc>
      </w:tr>
      <w:tr>
        <w:tc>
          <w:tcPr>
            <w:tcW w:w="3152" w:type="dxa"/>
            <w:tcBorders>
              <w:top w:val="nil"/>
              <w:left w:val="single" w:sz="4" w:space="0" w:color="auto"/>
              <w:bottom w:val="single" w:sz="4" w:space="0" w:color="auto"/>
              <w:right w:val="single" w:sz="4" w:space="0" w:color="auto"/>
            </w:tcBorders>
          </w:tcPr>
          <w:p>
            <w:pPr>
              <w:tabs>
                <w:tab w:val="right" w:pos="284"/>
                <w:tab w:val="left" w:pos="454"/>
              </w:tabs>
              <w:spacing w:line="276" w:lineRule="auto"/>
              <w:rPr>
                <w:rFonts w:eastAsia="Calibri" w:cs="Arial"/>
                <w:sz w:val="20"/>
                <w:szCs w:val="20"/>
              </w:rPr>
            </w:pPr>
            <w:r>
              <w:rPr>
                <w:rFonts w:eastAsia="Calibri" w:cs="Arial"/>
                <w:sz w:val="20"/>
                <w:szCs w:val="20"/>
              </w:rPr>
              <w:t>Abteilung für Haushalt und Finanzen</w:t>
            </w: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Fachbereichsverwaltung</w:t>
            </w: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Sonstige Abteilungen</w:t>
            </w:r>
          </w:p>
          <w:p>
            <w:pPr>
              <w:tabs>
                <w:tab w:val="right" w:pos="284"/>
                <w:tab w:val="left" w:pos="454"/>
              </w:tabs>
              <w:spacing w:line="276" w:lineRule="auto"/>
              <w:rPr>
                <w:rFonts w:eastAsia="Calibri" w:cs="Arial"/>
                <w:sz w:val="20"/>
                <w:szCs w:val="20"/>
              </w:rPr>
            </w:pP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Bezirksverwaltung</w:t>
            </w:r>
          </w:p>
          <w:p>
            <w:pPr>
              <w:tabs>
                <w:tab w:val="right" w:pos="284"/>
                <w:tab w:val="left" w:pos="454"/>
              </w:tabs>
              <w:spacing w:line="276" w:lineRule="auto"/>
              <w:rPr>
                <w:rFonts w:eastAsia="Calibri" w:cs="Arial"/>
                <w:sz w:val="20"/>
                <w:szCs w:val="20"/>
              </w:rPr>
            </w:pPr>
          </w:p>
          <w:p>
            <w:pPr>
              <w:tabs>
                <w:tab w:val="right" w:pos="284"/>
                <w:tab w:val="left" w:pos="454"/>
              </w:tabs>
              <w:rPr>
                <w:rFonts w:eastAsia="Calibri" w:cs="Arial"/>
                <w:sz w:val="20"/>
                <w:szCs w:val="20"/>
              </w:rPr>
            </w:pPr>
          </w:p>
        </w:tc>
        <w:tc>
          <w:tcPr>
            <w:tcW w:w="1067" w:type="dxa"/>
            <w:tcBorders>
              <w:top w:val="nil"/>
              <w:left w:val="single" w:sz="4" w:space="0" w:color="auto"/>
              <w:bottom w:val="single" w:sz="4" w:space="0" w:color="auto"/>
              <w:right w:val="single" w:sz="4" w:space="0" w:color="auto"/>
            </w:tcBorders>
          </w:tcPr>
          <w:p>
            <w:pPr>
              <w:tabs>
                <w:tab w:val="right" w:pos="284"/>
                <w:tab w:val="left" w:pos="454"/>
              </w:tabs>
              <w:jc w:val="center"/>
              <w:rPr>
                <w:rFonts w:eastAsia="Calibri" w:cs="Arial"/>
                <w:sz w:val="20"/>
                <w:szCs w:val="20"/>
              </w:rPr>
            </w:pPr>
            <w:r>
              <w:rPr>
                <w:rFonts w:eastAsia="Calibri" w:cs="Arial"/>
                <w:sz w:val="20"/>
                <w:szCs w:val="20"/>
              </w:rPr>
              <w:t>3-4</w:t>
            </w: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r>
              <w:rPr>
                <w:rFonts w:eastAsia="Calibri" w:cs="Arial"/>
                <w:sz w:val="20"/>
                <w:szCs w:val="20"/>
              </w:rPr>
              <w:t>3</w:t>
            </w: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r>
              <w:rPr>
                <w:rFonts w:eastAsia="Calibri" w:cs="Arial"/>
                <w:sz w:val="20"/>
                <w:szCs w:val="20"/>
              </w:rPr>
              <w:t>7-9</w:t>
            </w: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p>
          <w:p>
            <w:pPr>
              <w:tabs>
                <w:tab w:val="right" w:pos="284"/>
                <w:tab w:val="left" w:pos="454"/>
              </w:tabs>
              <w:jc w:val="center"/>
              <w:rPr>
                <w:rFonts w:eastAsia="Calibri" w:cs="Arial"/>
                <w:sz w:val="20"/>
                <w:szCs w:val="20"/>
              </w:rPr>
            </w:pPr>
            <w:r>
              <w:rPr>
                <w:rFonts w:eastAsia="Calibri" w:cs="Arial"/>
                <w:sz w:val="20"/>
                <w:szCs w:val="20"/>
              </w:rPr>
              <w:t>3</w:t>
            </w:r>
          </w:p>
          <w:p>
            <w:pPr>
              <w:tabs>
                <w:tab w:val="right" w:pos="284"/>
                <w:tab w:val="left" w:pos="454"/>
              </w:tabs>
              <w:rPr>
                <w:rFonts w:eastAsia="Calibri" w:cs="Arial"/>
                <w:sz w:val="20"/>
                <w:szCs w:val="20"/>
              </w:rPr>
            </w:pPr>
          </w:p>
        </w:tc>
        <w:tc>
          <w:tcPr>
            <w:tcW w:w="5136" w:type="dxa"/>
            <w:tcBorders>
              <w:top w:val="nil"/>
              <w:left w:val="single" w:sz="4" w:space="0" w:color="auto"/>
              <w:bottom w:val="single" w:sz="4" w:space="0" w:color="auto"/>
              <w:right w:val="single" w:sz="4" w:space="0" w:color="auto"/>
            </w:tcBorders>
          </w:tcPr>
          <w:p>
            <w:pPr>
              <w:tabs>
                <w:tab w:val="right" w:pos="284"/>
                <w:tab w:val="left" w:pos="454"/>
              </w:tabs>
              <w:spacing w:line="276" w:lineRule="auto"/>
              <w:rPr>
                <w:rFonts w:eastAsia="Calibri" w:cs="Arial"/>
                <w:sz w:val="20"/>
                <w:szCs w:val="20"/>
              </w:rPr>
            </w:pPr>
            <w:r>
              <w:rPr>
                <w:rFonts w:eastAsia="Calibri" w:cs="Arial"/>
                <w:sz w:val="20"/>
                <w:szCs w:val="20"/>
              </w:rPr>
              <w:t>Die Anwärterinnen und Anwärter sollen einen Überblick über die wesentlichen Aufgaben des Haushaltswesens erhalten. Sie sind auch in einer Kasse auszubilden.</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 xml:space="preserve">Die Anwärterinnen und Anwärter sollen einen Überblick über die fachspezifischen Aufgaben einer Fachbereichsverwaltung und der Gremien eines Fachbereichs erhalten. </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Die Anwärterinnen und Anwärter sind in mindestens zwei verschiedenen Abteilungen auszubilden.</w:t>
            </w:r>
          </w:p>
          <w:p>
            <w:pPr>
              <w:tabs>
                <w:tab w:val="right" w:pos="284"/>
                <w:tab w:val="left" w:pos="454"/>
              </w:tabs>
              <w:spacing w:line="360" w:lineRule="auto"/>
              <w:rPr>
                <w:rFonts w:eastAsia="Calibri" w:cs="Arial"/>
                <w:sz w:val="20"/>
                <w:szCs w:val="20"/>
              </w:rPr>
            </w:pPr>
          </w:p>
          <w:p>
            <w:pPr>
              <w:tabs>
                <w:tab w:val="right" w:pos="284"/>
                <w:tab w:val="left" w:pos="454"/>
              </w:tabs>
              <w:spacing w:line="276" w:lineRule="auto"/>
              <w:rPr>
                <w:rFonts w:eastAsia="Calibri" w:cs="Arial"/>
                <w:sz w:val="20"/>
                <w:szCs w:val="20"/>
              </w:rPr>
            </w:pPr>
            <w:r>
              <w:rPr>
                <w:rFonts w:eastAsia="Calibri" w:cs="Arial"/>
                <w:sz w:val="20"/>
                <w:szCs w:val="20"/>
              </w:rPr>
              <w:t>Die Anwärterinnen und Anwärter sollen mit den Aufgaben einer Sozial- oder Ordnungsverwaltung vertraut gemacht werden.</w:t>
            </w:r>
          </w:p>
          <w:p>
            <w:pPr>
              <w:tabs>
                <w:tab w:val="right" w:pos="284"/>
                <w:tab w:val="left" w:pos="454"/>
              </w:tabs>
              <w:rPr>
                <w:rFonts w:eastAsia="Calibri" w:cs="Arial"/>
                <w:sz w:val="20"/>
                <w:szCs w:val="20"/>
              </w:rPr>
            </w:pPr>
          </w:p>
        </w:tc>
      </w:tr>
      <w:tr>
        <w:tc>
          <w:tcPr>
            <w:tcW w:w="9355" w:type="dxa"/>
            <w:gridSpan w:val="3"/>
            <w:tcBorders>
              <w:top w:val="single" w:sz="4" w:space="0" w:color="auto"/>
              <w:left w:val="single" w:sz="4" w:space="0" w:color="auto"/>
              <w:bottom w:val="single" w:sz="4" w:space="0" w:color="auto"/>
              <w:right w:val="single" w:sz="4" w:space="0" w:color="auto"/>
            </w:tcBorders>
          </w:tcPr>
          <w:p>
            <w:pPr>
              <w:tabs>
                <w:tab w:val="right" w:pos="284"/>
                <w:tab w:val="left" w:pos="454"/>
              </w:tabs>
              <w:spacing w:line="360" w:lineRule="auto"/>
              <w:rPr>
                <w:rFonts w:eastAsia="Calibri" w:cs="Arial"/>
                <w:b/>
                <w:sz w:val="20"/>
                <w:szCs w:val="20"/>
              </w:rPr>
            </w:pPr>
          </w:p>
          <w:p>
            <w:pPr>
              <w:tabs>
                <w:tab w:val="right" w:pos="284"/>
                <w:tab w:val="left" w:pos="454"/>
              </w:tabs>
              <w:spacing w:line="360" w:lineRule="auto"/>
              <w:rPr>
                <w:rFonts w:eastAsia="Calibri" w:cs="Arial"/>
                <w:b/>
                <w:sz w:val="20"/>
                <w:szCs w:val="20"/>
              </w:rPr>
            </w:pPr>
            <w:r>
              <w:rPr>
                <w:rFonts w:eastAsia="Calibri" w:cs="Arial"/>
                <w:b/>
                <w:sz w:val="20"/>
                <w:szCs w:val="20"/>
              </w:rPr>
              <w:t>Anmerkungen zu Abschnitt II:</w:t>
            </w:r>
          </w:p>
          <w:p>
            <w:pPr>
              <w:tabs>
                <w:tab w:val="left" w:pos="172"/>
                <w:tab w:val="right" w:pos="284"/>
                <w:tab w:val="left" w:pos="454"/>
              </w:tabs>
              <w:rPr>
                <w:rFonts w:eastAsia="Calibri" w:cs="Arial"/>
                <w:sz w:val="20"/>
                <w:szCs w:val="20"/>
              </w:rPr>
            </w:pPr>
            <w:r>
              <w:rPr>
                <w:rFonts w:eastAsia="Calibri" w:cs="Arial"/>
                <w:sz w:val="20"/>
                <w:szCs w:val="20"/>
              </w:rPr>
              <w:t xml:space="preserve">Die Reihenfolge der Ausbildungsabschnitte und gegebenenfalls den jeweiligen Zeitraum bestimmt die Ausbildungsbehörde im Ausbildungsplan (§ </w:t>
            </w:r>
            <w:r>
              <w:rPr>
                <w:rFonts w:eastAsia="Calibri" w:cs="Arial"/>
                <w:b/>
                <w:sz w:val="20"/>
                <w:szCs w:val="20"/>
              </w:rPr>
              <w:t>9</w:t>
            </w:r>
            <w:r>
              <w:rPr>
                <w:rFonts w:eastAsia="Calibri" w:cs="Arial"/>
                <w:sz w:val="20"/>
                <w:szCs w:val="20"/>
              </w:rPr>
              <w:t xml:space="preserve"> Abs. 1 </w:t>
            </w:r>
            <w:r>
              <w:rPr>
                <w:rFonts w:eastAsia="Calibri" w:cs="Arial"/>
                <w:b/>
                <w:sz w:val="20"/>
                <w:szCs w:val="20"/>
              </w:rPr>
              <w:t>APOallgVerwD, LfbGr. 1</w:t>
            </w:r>
            <w:r>
              <w:rPr>
                <w:rFonts w:eastAsia="Calibri" w:cs="Arial"/>
                <w:sz w:val="20"/>
                <w:szCs w:val="20"/>
              </w:rPr>
              <w:t>).</w:t>
            </w:r>
          </w:p>
          <w:p>
            <w:pPr>
              <w:tabs>
                <w:tab w:val="left" w:pos="172"/>
                <w:tab w:val="right" w:pos="284"/>
                <w:tab w:val="left" w:pos="454"/>
              </w:tabs>
              <w:rPr>
                <w:rFonts w:eastAsia="Calibri" w:cs="Arial"/>
                <w:sz w:val="20"/>
                <w:szCs w:val="20"/>
              </w:rPr>
            </w:pPr>
          </w:p>
          <w:p>
            <w:pPr>
              <w:tabs>
                <w:tab w:val="left" w:pos="172"/>
                <w:tab w:val="right" w:pos="284"/>
                <w:tab w:val="left" w:pos="454"/>
              </w:tabs>
              <w:rPr>
                <w:rFonts w:eastAsia="Calibri" w:cs="Arial"/>
                <w:sz w:val="20"/>
                <w:szCs w:val="20"/>
              </w:rPr>
            </w:pPr>
          </w:p>
        </w:tc>
      </w:tr>
    </w:tbl>
    <w:p>
      <w:pPr>
        <w:spacing w:after="200" w:line="276" w:lineRule="auto"/>
        <w:rPr>
          <w:rFonts w:cs="Arial"/>
          <w:sz w:val="24"/>
          <w:szCs w:val="24"/>
        </w:rPr>
      </w:pPr>
      <w:r>
        <w:rPr>
          <w:rFonts w:cs="Arial"/>
          <w:sz w:val="24"/>
          <w:szCs w:val="24"/>
        </w:rPr>
        <w:br w:type="page"/>
      </w:r>
    </w:p>
    <w:tbl>
      <w:tblPr>
        <w:tblStyle w:val="Tabellenraster1"/>
        <w:tblpPr w:leftFromText="141" w:rightFromText="141" w:vertAnchor="text" w:tblpX="-185" w:tblpY="1"/>
        <w:tblOverlap w:val="never"/>
        <w:tblW w:w="9322" w:type="dxa"/>
        <w:tblInd w:w="0" w:type="dxa"/>
        <w:tblLayout w:type="fixed"/>
        <w:tblLook w:val="04A0" w:firstRow="1" w:lastRow="0" w:firstColumn="1" w:lastColumn="0" w:noHBand="0" w:noVBand="1"/>
      </w:tblPr>
      <w:tblGrid>
        <w:gridCol w:w="1242"/>
        <w:gridCol w:w="5812"/>
        <w:gridCol w:w="1134"/>
        <w:gridCol w:w="1134"/>
      </w:tblGrid>
      <w:tr>
        <w:tc>
          <w:tcPr>
            <w:tcW w:w="9322" w:type="dxa"/>
            <w:gridSpan w:val="4"/>
            <w:tcBorders>
              <w:top w:val="single" w:sz="4" w:space="0" w:color="auto"/>
              <w:left w:val="single" w:sz="4" w:space="0" w:color="auto"/>
              <w:bottom w:val="nil"/>
              <w:right w:val="single" w:sz="4" w:space="0" w:color="auto"/>
            </w:tcBorders>
          </w:tcPr>
          <w:p>
            <w:pPr>
              <w:tabs>
                <w:tab w:val="right" w:pos="284"/>
                <w:tab w:val="left" w:pos="454"/>
              </w:tabs>
              <w:spacing w:line="276" w:lineRule="auto"/>
              <w:rPr>
                <w:rFonts w:eastAsia="Calibri"/>
                <w:b/>
                <w:sz w:val="16"/>
                <w:szCs w:val="16"/>
              </w:rPr>
            </w:pPr>
            <w:r>
              <w:rPr>
                <w:b/>
                <w:spacing w:val="40"/>
              </w:rPr>
              <w:lastRenderedPageBreak/>
              <w:t>Anlage 2</w:t>
            </w:r>
          </w:p>
          <w:p>
            <w:pPr>
              <w:tabs>
                <w:tab w:val="right" w:pos="284"/>
                <w:tab w:val="left" w:pos="454"/>
              </w:tabs>
              <w:spacing w:line="276" w:lineRule="auto"/>
              <w:rPr>
                <w:sz w:val="20"/>
                <w:szCs w:val="20"/>
              </w:rPr>
            </w:pPr>
            <w:r>
              <w:rPr>
                <w:sz w:val="20"/>
                <w:szCs w:val="20"/>
              </w:rPr>
              <w:t xml:space="preserve">(zu Nummer </w:t>
            </w:r>
            <w:r>
              <w:rPr>
                <w:b/>
                <w:sz w:val="20"/>
                <w:szCs w:val="20"/>
              </w:rPr>
              <w:t>7</w:t>
            </w:r>
            <w:r>
              <w:rPr>
                <w:sz w:val="20"/>
                <w:szCs w:val="20"/>
              </w:rPr>
              <w:t xml:space="preserve"> Abs</w:t>
            </w:r>
            <w:r>
              <w:rPr>
                <w:b/>
                <w:sz w:val="20"/>
                <w:szCs w:val="20"/>
              </w:rPr>
              <w:t>atz</w:t>
            </w:r>
            <w:r>
              <w:rPr>
                <w:sz w:val="20"/>
                <w:szCs w:val="20"/>
              </w:rPr>
              <w:t xml:space="preserve"> 2)</w:t>
            </w:r>
          </w:p>
          <w:p>
            <w:pPr>
              <w:tabs>
                <w:tab w:val="right" w:pos="284"/>
                <w:tab w:val="left" w:pos="454"/>
              </w:tabs>
              <w:spacing w:line="276" w:lineRule="auto"/>
              <w:rPr>
                <w:sz w:val="20"/>
                <w:szCs w:val="20"/>
              </w:rPr>
            </w:pPr>
          </w:p>
          <w:p>
            <w:pPr>
              <w:tabs>
                <w:tab w:val="right" w:pos="284"/>
                <w:tab w:val="left" w:pos="454"/>
              </w:tabs>
              <w:spacing w:line="276" w:lineRule="auto"/>
              <w:rPr>
                <w:sz w:val="20"/>
                <w:szCs w:val="20"/>
              </w:rPr>
            </w:pPr>
            <w:r>
              <w:rPr>
                <w:sz w:val="20"/>
                <w:szCs w:val="20"/>
              </w:rPr>
              <w:t>(Deckblatt)</w:t>
            </w:r>
          </w:p>
          <w:p>
            <w:pPr>
              <w:tabs>
                <w:tab w:val="right" w:pos="284"/>
                <w:tab w:val="left" w:pos="454"/>
              </w:tabs>
              <w:spacing w:line="276" w:lineRule="auto"/>
              <w:rPr>
                <w:sz w:val="20"/>
                <w:szCs w:val="20"/>
              </w:rPr>
            </w:pPr>
            <w:r>
              <w:rPr>
                <w:sz w:val="20"/>
                <w:szCs w:val="20"/>
              </w:rPr>
              <w:t>_____________________________</w:t>
            </w:r>
          </w:p>
          <w:p>
            <w:pPr>
              <w:tabs>
                <w:tab w:val="right" w:pos="284"/>
                <w:tab w:val="left" w:pos="454"/>
              </w:tabs>
              <w:spacing w:line="276" w:lineRule="auto"/>
              <w:rPr>
                <w:sz w:val="12"/>
                <w:szCs w:val="12"/>
              </w:rPr>
            </w:pPr>
            <w:r>
              <w:rPr>
                <w:sz w:val="18"/>
                <w:szCs w:val="12"/>
              </w:rPr>
              <w:tab/>
              <w:t xml:space="preserve"> Ausbildungsbehörde</w:t>
            </w:r>
          </w:p>
          <w:p>
            <w:pPr>
              <w:tabs>
                <w:tab w:val="right" w:pos="284"/>
                <w:tab w:val="left" w:pos="454"/>
              </w:tabs>
              <w:rPr>
                <w:sz w:val="16"/>
                <w:szCs w:val="16"/>
              </w:rPr>
            </w:pPr>
          </w:p>
        </w:tc>
      </w:tr>
      <w:tr>
        <w:tc>
          <w:tcPr>
            <w:tcW w:w="9322" w:type="dxa"/>
            <w:gridSpan w:val="4"/>
            <w:tcBorders>
              <w:top w:val="nil"/>
              <w:left w:val="single" w:sz="4" w:space="0" w:color="auto"/>
              <w:bottom w:val="single" w:sz="4" w:space="0" w:color="auto"/>
              <w:right w:val="single" w:sz="4" w:space="0" w:color="auto"/>
            </w:tcBorders>
          </w:tcPr>
          <w:p>
            <w:pPr>
              <w:tabs>
                <w:tab w:val="right" w:pos="284"/>
                <w:tab w:val="left" w:pos="454"/>
              </w:tabs>
              <w:rPr>
                <w:szCs w:val="16"/>
              </w:rPr>
            </w:pPr>
          </w:p>
          <w:p>
            <w:pPr>
              <w:tabs>
                <w:tab w:val="right" w:pos="284"/>
                <w:tab w:val="left" w:pos="454"/>
              </w:tabs>
              <w:spacing w:line="276" w:lineRule="auto"/>
              <w:ind w:left="284"/>
              <w:jc w:val="center"/>
              <w:rPr>
                <w:b/>
                <w:szCs w:val="16"/>
              </w:rPr>
            </w:pPr>
            <w:r>
              <w:rPr>
                <w:b/>
                <w:szCs w:val="16"/>
              </w:rPr>
              <w:t>Berichtsheft</w:t>
            </w:r>
          </w:p>
          <w:p>
            <w:pPr>
              <w:tabs>
                <w:tab w:val="right" w:pos="284"/>
                <w:tab w:val="left" w:pos="454"/>
              </w:tabs>
              <w:spacing w:line="276" w:lineRule="auto"/>
              <w:ind w:left="284"/>
              <w:jc w:val="center"/>
              <w:rPr>
                <w:b/>
                <w:szCs w:val="16"/>
              </w:rPr>
            </w:pPr>
            <w:r>
              <w:rPr>
                <w:b/>
                <w:szCs w:val="16"/>
              </w:rPr>
              <w:t>(Ausbildungsnachweis)</w:t>
            </w:r>
          </w:p>
          <w:p>
            <w:pPr>
              <w:tabs>
                <w:tab w:val="right" w:pos="284"/>
                <w:tab w:val="left" w:pos="454"/>
              </w:tabs>
              <w:spacing w:line="276" w:lineRule="auto"/>
              <w:rPr>
                <w:szCs w:val="16"/>
              </w:rPr>
            </w:pPr>
          </w:p>
          <w:p>
            <w:pPr>
              <w:tabs>
                <w:tab w:val="right" w:pos="284"/>
                <w:tab w:val="left" w:pos="454"/>
              </w:tabs>
              <w:spacing w:line="276" w:lineRule="auto"/>
              <w:rPr>
                <w:szCs w:val="16"/>
              </w:rPr>
            </w:pPr>
            <w:r>
              <w:rPr>
                <w:szCs w:val="16"/>
              </w:rPr>
              <w:t>des/der</w:t>
            </w:r>
          </w:p>
          <w:p>
            <w:pPr>
              <w:tabs>
                <w:tab w:val="right" w:pos="284"/>
                <w:tab w:val="left" w:pos="454"/>
              </w:tabs>
              <w:spacing w:line="276" w:lineRule="auto"/>
              <w:rPr>
                <w:szCs w:val="16"/>
              </w:rPr>
            </w:pPr>
          </w:p>
          <w:p>
            <w:pPr>
              <w:tabs>
                <w:tab w:val="right" w:pos="284"/>
                <w:tab w:val="left" w:pos="454"/>
              </w:tabs>
              <w:spacing w:line="276" w:lineRule="auto"/>
              <w:rPr>
                <w:szCs w:val="16"/>
              </w:rPr>
            </w:pPr>
          </w:p>
          <w:p>
            <w:pPr>
              <w:tabs>
                <w:tab w:val="right" w:pos="284"/>
                <w:tab w:val="left" w:pos="454"/>
              </w:tabs>
              <w:spacing w:line="276" w:lineRule="auto"/>
              <w:rPr>
                <w:szCs w:val="16"/>
              </w:rPr>
            </w:pPr>
            <w:r>
              <w:rPr>
                <w:szCs w:val="16"/>
              </w:rPr>
              <w:t>__________________________________________________________________________</w:t>
            </w:r>
          </w:p>
          <w:p>
            <w:pPr>
              <w:tabs>
                <w:tab w:val="right" w:pos="284"/>
                <w:tab w:val="left" w:pos="454"/>
              </w:tabs>
              <w:spacing w:line="276" w:lineRule="auto"/>
              <w:rPr>
                <w:szCs w:val="12"/>
              </w:rPr>
            </w:pPr>
            <w:r>
              <w:rPr>
                <w:szCs w:val="16"/>
              </w:rPr>
              <w:tab/>
            </w:r>
            <w:r>
              <w:rPr>
                <w:szCs w:val="16"/>
              </w:rPr>
              <w:tab/>
            </w:r>
            <w:r>
              <w:rPr>
                <w:szCs w:val="12"/>
              </w:rPr>
              <w:t>Dienstbezeichnung</w:t>
            </w:r>
            <w:r>
              <w:rPr>
                <w:szCs w:val="12"/>
              </w:rPr>
              <w:tab/>
            </w:r>
            <w:r>
              <w:rPr>
                <w:szCs w:val="12"/>
              </w:rPr>
              <w:tab/>
            </w:r>
            <w:r>
              <w:rPr>
                <w:szCs w:val="12"/>
              </w:rPr>
              <w:tab/>
            </w:r>
            <w:r>
              <w:rPr>
                <w:szCs w:val="12"/>
              </w:rPr>
              <w:tab/>
              <w:t>Vorname</w:t>
            </w:r>
            <w:r>
              <w:rPr>
                <w:szCs w:val="12"/>
              </w:rPr>
              <w:tab/>
            </w:r>
            <w:r>
              <w:rPr>
                <w:szCs w:val="12"/>
              </w:rPr>
              <w:tab/>
              <w:t>Name</w:t>
            </w:r>
          </w:p>
          <w:p>
            <w:pPr>
              <w:tabs>
                <w:tab w:val="right" w:pos="284"/>
                <w:tab w:val="left" w:pos="454"/>
              </w:tabs>
              <w:rPr>
                <w:szCs w:val="16"/>
              </w:rPr>
            </w:pPr>
          </w:p>
        </w:tc>
      </w:tr>
      <w:tr>
        <w:trPr>
          <w:trHeight w:val="253"/>
        </w:trPr>
        <w:tc>
          <w:tcPr>
            <w:tcW w:w="9322" w:type="dxa"/>
            <w:gridSpan w:val="4"/>
            <w:tcBorders>
              <w:top w:val="single" w:sz="4" w:space="0" w:color="auto"/>
              <w:left w:val="single" w:sz="4" w:space="0" w:color="auto"/>
              <w:bottom w:val="single" w:sz="4" w:space="0" w:color="auto"/>
              <w:right w:val="single" w:sz="4" w:space="0" w:color="auto"/>
            </w:tcBorders>
          </w:tcPr>
          <w:p>
            <w:pPr>
              <w:tabs>
                <w:tab w:val="right" w:pos="284"/>
                <w:tab w:val="left" w:pos="454"/>
              </w:tabs>
              <w:rPr>
                <w:szCs w:val="16"/>
              </w:rPr>
            </w:pPr>
            <w:r>
              <w:rPr>
                <w:szCs w:val="16"/>
              </w:rPr>
              <w:t>(Vorlage der einzelnen Berichtsseiten)</w:t>
            </w:r>
          </w:p>
          <w:p>
            <w:pPr>
              <w:tabs>
                <w:tab w:val="right" w:pos="284"/>
                <w:tab w:val="left" w:pos="454"/>
              </w:tabs>
              <w:rPr>
                <w:szCs w:val="16"/>
              </w:rPr>
            </w:pPr>
          </w:p>
          <w:p>
            <w:pPr>
              <w:tabs>
                <w:tab w:val="right" w:pos="284"/>
                <w:tab w:val="left" w:pos="454"/>
              </w:tabs>
              <w:jc w:val="center"/>
              <w:rPr>
                <w:b/>
                <w:szCs w:val="16"/>
              </w:rPr>
            </w:pPr>
            <w:r>
              <w:rPr>
                <w:b/>
                <w:szCs w:val="16"/>
              </w:rPr>
              <w:t>Ausbildungsnachweis für die tägliche Führung des Berichtsheftes</w:t>
            </w:r>
          </w:p>
          <w:p>
            <w:pPr>
              <w:tabs>
                <w:tab w:val="right" w:pos="284"/>
                <w:tab w:val="left" w:pos="454"/>
              </w:tabs>
              <w:jc w:val="center"/>
              <w:rPr>
                <w:szCs w:val="16"/>
              </w:rPr>
            </w:pPr>
          </w:p>
          <w:p>
            <w:pPr>
              <w:tabs>
                <w:tab w:val="right" w:pos="284"/>
                <w:tab w:val="left" w:pos="454"/>
              </w:tabs>
              <w:rPr>
                <w:szCs w:val="16"/>
              </w:rPr>
            </w:pPr>
            <w:r>
              <w:rPr>
                <w:szCs w:val="16"/>
              </w:rPr>
              <w:t>Name:</w:t>
            </w:r>
          </w:p>
          <w:p>
            <w:pPr>
              <w:tabs>
                <w:tab w:val="right" w:pos="284"/>
                <w:tab w:val="left" w:pos="454"/>
              </w:tabs>
              <w:rPr>
                <w:szCs w:val="16"/>
              </w:rPr>
            </w:pPr>
          </w:p>
          <w:p>
            <w:pPr>
              <w:tabs>
                <w:tab w:val="right" w:pos="284"/>
                <w:tab w:val="left" w:pos="454"/>
              </w:tabs>
              <w:rPr>
                <w:szCs w:val="16"/>
              </w:rPr>
            </w:pPr>
            <w:r>
              <w:rPr>
                <w:szCs w:val="16"/>
              </w:rPr>
              <w:t>Ausbildungsnachweis Nummer:</w:t>
            </w:r>
          </w:p>
          <w:p>
            <w:pPr>
              <w:tabs>
                <w:tab w:val="right" w:pos="284"/>
                <w:tab w:val="left" w:pos="454"/>
              </w:tabs>
              <w:rPr>
                <w:szCs w:val="16"/>
              </w:rPr>
            </w:pPr>
            <w:r>
              <w:rPr>
                <w:szCs w:val="16"/>
              </w:rPr>
              <w:t>Ausbildungsabschnitt (Dienststelle):</w:t>
            </w:r>
          </w:p>
          <w:p>
            <w:pPr>
              <w:tabs>
                <w:tab w:val="right" w:pos="284"/>
                <w:tab w:val="left" w:pos="454"/>
              </w:tabs>
              <w:rPr>
                <w:szCs w:val="16"/>
              </w:rPr>
            </w:pPr>
          </w:p>
          <w:p>
            <w:pPr>
              <w:tabs>
                <w:tab w:val="right" w:pos="284"/>
                <w:tab w:val="left" w:pos="454"/>
              </w:tabs>
              <w:rPr>
                <w:szCs w:val="16"/>
              </w:rPr>
            </w:pPr>
            <w:r>
              <w:rPr>
                <w:szCs w:val="16"/>
              </w:rPr>
              <w:t>Für die Woche vom __ bis ___</w:t>
            </w:r>
          </w:p>
          <w:p>
            <w:pPr>
              <w:tabs>
                <w:tab w:val="right" w:pos="284"/>
                <w:tab w:val="left" w:pos="454"/>
              </w:tabs>
              <w:rPr>
                <w:szCs w:val="16"/>
              </w:rPr>
            </w:pPr>
          </w:p>
        </w:tc>
      </w:tr>
      <w:tr>
        <w:trPr>
          <w:trHeight w:val="252"/>
        </w:trPr>
        <w:tc>
          <w:tcPr>
            <w:tcW w:w="124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after="240"/>
              <w:jc w:val="center"/>
              <w:rPr>
                <w:sz w:val="20"/>
                <w:szCs w:val="20"/>
              </w:rPr>
            </w:pPr>
            <w:r>
              <w:rPr>
                <w:sz w:val="20"/>
                <w:szCs w:val="20"/>
              </w:rPr>
              <w:t>Tag</w:t>
            </w:r>
          </w:p>
        </w:tc>
        <w:tc>
          <w:tcPr>
            <w:tcW w:w="581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Ausgeführte Arbeiten, Unterricht</w:t>
            </w:r>
          </w:p>
        </w:tc>
        <w:tc>
          <w:tcPr>
            <w:tcW w:w="1134"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Einzelstunden</w:t>
            </w:r>
          </w:p>
        </w:tc>
        <w:tc>
          <w:tcPr>
            <w:tcW w:w="1134"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Gesamtstunden</w:t>
            </w:r>
          </w:p>
        </w:tc>
      </w:tr>
      <w:tr>
        <w:trPr>
          <w:trHeight w:val="282"/>
        </w:trPr>
        <w:tc>
          <w:tcPr>
            <w:tcW w:w="124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Montag</w:t>
            </w:r>
          </w:p>
        </w:tc>
        <w:tc>
          <w:tcPr>
            <w:tcW w:w="581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r>
      <w:tr>
        <w:trPr>
          <w:trHeight w:val="286"/>
        </w:trPr>
        <w:tc>
          <w:tcPr>
            <w:tcW w:w="124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Dienstag</w:t>
            </w:r>
          </w:p>
        </w:tc>
        <w:tc>
          <w:tcPr>
            <w:tcW w:w="581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r>
      <w:tr>
        <w:trPr>
          <w:trHeight w:val="324"/>
        </w:trPr>
        <w:tc>
          <w:tcPr>
            <w:tcW w:w="124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Mittwoch</w:t>
            </w:r>
          </w:p>
        </w:tc>
        <w:tc>
          <w:tcPr>
            <w:tcW w:w="581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r>
      <w:tr>
        <w:trPr>
          <w:trHeight w:val="354"/>
        </w:trPr>
        <w:tc>
          <w:tcPr>
            <w:tcW w:w="124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Donnerstag</w:t>
            </w:r>
          </w:p>
        </w:tc>
        <w:tc>
          <w:tcPr>
            <w:tcW w:w="581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r>
      <w:tr>
        <w:trPr>
          <w:trHeight w:val="274"/>
        </w:trPr>
        <w:tc>
          <w:tcPr>
            <w:tcW w:w="1242" w:type="dxa"/>
            <w:tcBorders>
              <w:top w:val="single" w:sz="4" w:space="0" w:color="auto"/>
              <w:left w:val="single" w:sz="4" w:space="0" w:color="auto"/>
              <w:bottom w:val="single" w:sz="4" w:space="0" w:color="auto"/>
              <w:right w:val="single" w:sz="4" w:space="0" w:color="auto"/>
            </w:tcBorders>
            <w:hideMark/>
          </w:tcPr>
          <w:p>
            <w:pPr>
              <w:tabs>
                <w:tab w:val="right" w:pos="284"/>
                <w:tab w:val="left" w:pos="454"/>
              </w:tabs>
              <w:spacing w:before="240"/>
              <w:jc w:val="center"/>
              <w:rPr>
                <w:sz w:val="20"/>
                <w:szCs w:val="20"/>
              </w:rPr>
            </w:pPr>
            <w:r>
              <w:rPr>
                <w:sz w:val="20"/>
                <w:szCs w:val="20"/>
              </w:rPr>
              <w:t>Freitag</w:t>
            </w:r>
          </w:p>
        </w:tc>
        <w:tc>
          <w:tcPr>
            <w:tcW w:w="581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c>
          <w:tcPr>
            <w:tcW w:w="1134" w:type="dxa"/>
            <w:tcBorders>
              <w:top w:val="single" w:sz="4" w:space="0" w:color="auto"/>
              <w:left w:val="single" w:sz="4" w:space="0" w:color="auto"/>
              <w:bottom w:val="single" w:sz="4" w:space="0" w:color="auto"/>
              <w:right w:val="single" w:sz="4" w:space="0" w:color="auto"/>
            </w:tcBorders>
          </w:tcPr>
          <w:p>
            <w:pPr>
              <w:tabs>
                <w:tab w:val="right" w:pos="284"/>
                <w:tab w:val="left" w:pos="454"/>
              </w:tabs>
              <w:spacing w:before="240"/>
              <w:rPr>
                <w:sz w:val="20"/>
                <w:szCs w:val="20"/>
              </w:rPr>
            </w:pPr>
          </w:p>
        </w:tc>
      </w:tr>
      <w:tr>
        <w:trPr>
          <w:trHeight w:val="972"/>
        </w:trPr>
        <w:tc>
          <w:tcPr>
            <w:tcW w:w="9322" w:type="dxa"/>
            <w:gridSpan w:val="4"/>
            <w:vMerge w:val="restart"/>
            <w:tcBorders>
              <w:top w:val="single" w:sz="4" w:space="0" w:color="auto"/>
              <w:left w:val="single" w:sz="4" w:space="0" w:color="auto"/>
              <w:bottom w:val="single" w:sz="4" w:space="0" w:color="auto"/>
              <w:right w:val="single" w:sz="4" w:space="0" w:color="auto"/>
            </w:tcBorders>
          </w:tcPr>
          <w:p>
            <w:pPr>
              <w:tabs>
                <w:tab w:val="right" w:pos="284"/>
                <w:tab w:val="left" w:pos="454"/>
              </w:tabs>
              <w:rPr>
                <w:szCs w:val="12"/>
              </w:rPr>
            </w:pPr>
            <w:r>
              <w:rPr>
                <w:szCs w:val="12"/>
              </w:rPr>
              <w:t>Besondere Anmerkungen der Anwärterin// des Anwärters:</w:t>
            </w:r>
          </w:p>
          <w:p>
            <w:pPr>
              <w:tabs>
                <w:tab w:val="right" w:pos="284"/>
                <w:tab w:val="left" w:pos="454"/>
              </w:tabs>
              <w:rPr>
                <w:szCs w:val="12"/>
              </w:rPr>
            </w:pPr>
          </w:p>
          <w:p>
            <w:pPr>
              <w:tabs>
                <w:tab w:val="right" w:pos="284"/>
                <w:tab w:val="left" w:pos="454"/>
              </w:tabs>
              <w:rPr>
                <w:szCs w:val="12"/>
              </w:rPr>
            </w:pPr>
          </w:p>
          <w:p>
            <w:pPr>
              <w:tabs>
                <w:tab w:val="right" w:pos="284"/>
                <w:tab w:val="left" w:pos="454"/>
              </w:tabs>
              <w:rPr>
                <w:szCs w:val="12"/>
              </w:rPr>
            </w:pPr>
            <w:r>
              <w:rPr>
                <w:szCs w:val="12"/>
              </w:rPr>
              <w:t>Besondere Anmerkungen der Ausbildungsleitung:</w:t>
            </w:r>
          </w:p>
          <w:p>
            <w:pPr>
              <w:tabs>
                <w:tab w:val="right" w:pos="284"/>
                <w:tab w:val="left" w:pos="454"/>
              </w:tabs>
              <w:rPr>
                <w:szCs w:val="12"/>
              </w:rPr>
            </w:pPr>
          </w:p>
          <w:p>
            <w:pPr>
              <w:tabs>
                <w:tab w:val="right" w:pos="284"/>
                <w:tab w:val="left" w:pos="454"/>
              </w:tabs>
              <w:rPr>
                <w:szCs w:val="12"/>
              </w:rPr>
            </w:pPr>
          </w:p>
          <w:p>
            <w:pPr>
              <w:tabs>
                <w:tab w:val="right" w:pos="284"/>
                <w:tab w:val="left" w:pos="454"/>
              </w:tabs>
              <w:rPr>
                <w:szCs w:val="12"/>
              </w:rPr>
            </w:pPr>
            <w:r>
              <w:rPr>
                <w:szCs w:val="12"/>
              </w:rPr>
              <w:t>Für die Richtigkeit:</w:t>
            </w:r>
          </w:p>
          <w:p>
            <w:pPr>
              <w:tabs>
                <w:tab w:val="right" w:pos="284"/>
                <w:tab w:val="left" w:pos="454"/>
              </w:tabs>
              <w:rPr>
                <w:szCs w:val="12"/>
              </w:rPr>
            </w:pPr>
          </w:p>
          <w:p>
            <w:pPr>
              <w:tabs>
                <w:tab w:val="right" w:pos="284"/>
                <w:tab w:val="left" w:pos="454"/>
              </w:tabs>
              <w:rPr>
                <w:szCs w:val="12"/>
              </w:rPr>
            </w:pPr>
          </w:p>
          <w:p>
            <w:pPr>
              <w:tabs>
                <w:tab w:val="right" w:pos="284"/>
                <w:tab w:val="left" w:pos="454"/>
              </w:tabs>
              <w:rPr>
                <w:szCs w:val="12"/>
              </w:rPr>
            </w:pPr>
            <w:r>
              <w:rPr>
                <w:szCs w:val="12"/>
              </w:rPr>
              <w:t>Unterschrift der Anwärterin/ des Anwärters</w:t>
            </w:r>
          </w:p>
          <w:p>
            <w:pPr>
              <w:tabs>
                <w:tab w:val="right" w:pos="284"/>
                <w:tab w:val="left" w:pos="454"/>
              </w:tabs>
              <w:rPr>
                <w:szCs w:val="12"/>
              </w:rPr>
            </w:pPr>
          </w:p>
          <w:p>
            <w:pPr>
              <w:tabs>
                <w:tab w:val="right" w:pos="284"/>
                <w:tab w:val="left" w:pos="454"/>
              </w:tabs>
              <w:rPr>
                <w:szCs w:val="12"/>
              </w:rPr>
            </w:pPr>
          </w:p>
          <w:p>
            <w:pPr>
              <w:tabs>
                <w:tab w:val="right" w:pos="284"/>
                <w:tab w:val="left" w:pos="454"/>
              </w:tabs>
              <w:rPr>
                <w:szCs w:val="12"/>
              </w:rPr>
            </w:pPr>
            <w:r>
              <w:rPr>
                <w:szCs w:val="12"/>
              </w:rPr>
              <w:t>Unterschrift der Ausbildungsleitung:</w:t>
            </w:r>
          </w:p>
        </w:tc>
      </w:tr>
      <w:tr>
        <w:trPr>
          <w:trHeight w:val="972"/>
        </w:trPr>
        <w:tc>
          <w:tcPr>
            <w:tcW w:w="9322" w:type="dxa"/>
            <w:gridSpan w:val="4"/>
            <w:vMerge/>
            <w:tcBorders>
              <w:top w:val="single" w:sz="4" w:space="0" w:color="auto"/>
              <w:left w:val="single" w:sz="4" w:space="0" w:color="auto"/>
              <w:bottom w:val="single" w:sz="4" w:space="0" w:color="auto"/>
              <w:right w:val="single" w:sz="4" w:space="0" w:color="auto"/>
            </w:tcBorders>
            <w:vAlign w:val="center"/>
            <w:hideMark/>
          </w:tcPr>
          <w:p>
            <w:pPr>
              <w:rPr>
                <w:rFonts w:eastAsia="Calibri"/>
                <w:sz w:val="12"/>
                <w:szCs w:val="12"/>
              </w:rPr>
            </w:pPr>
          </w:p>
        </w:tc>
      </w:tr>
    </w:tbl>
    <w:p>
      <w:pPr>
        <w:spacing w:after="200" w:line="276" w:lineRule="auto"/>
        <w:rPr>
          <w:rFonts w:cs="Arial"/>
          <w:sz w:val="24"/>
          <w:szCs w:val="24"/>
        </w:rPr>
      </w:pPr>
    </w:p>
    <w:tbl>
      <w:tblPr>
        <w:tblStyle w:val="Tabellenraster2"/>
        <w:tblpPr w:leftFromText="141" w:rightFromText="141" w:vertAnchor="text" w:tblpX="-185" w:tblpY="1"/>
        <w:tblOverlap w:val="never"/>
        <w:tblW w:w="9322" w:type="dxa"/>
        <w:tblInd w:w="0" w:type="dxa"/>
        <w:tblLayout w:type="fixed"/>
        <w:tblLook w:val="04A0" w:firstRow="1" w:lastRow="0" w:firstColumn="1" w:lastColumn="0" w:noHBand="0" w:noVBand="1"/>
      </w:tblPr>
      <w:tblGrid>
        <w:gridCol w:w="9322"/>
      </w:tblGrid>
      <w:tr>
        <w:trPr>
          <w:trHeight w:val="252"/>
        </w:trPr>
        <w:tc>
          <w:tcPr>
            <w:tcW w:w="9322" w:type="dxa"/>
            <w:tcBorders>
              <w:top w:val="single" w:sz="4" w:space="0" w:color="auto"/>
              <w:left w:val="single" w:sz="4" w:space="0" w:color="auto"/>
              <w:bottom w:val="nil"/>
              <w:right w:val="single" w:sz="4" w:space="0" w:color="auto"/>
            </w:tcBorders>
          </w:tcPr>
          <w:p>
            <w:pPr>
              <w:tabs>
                <w:tab w:val="right" w:pos="284"/>
                <w:tab w:val="left" w:pos="454"/>
              </w:tabs>
              <w:spacing w:line="276" w:lineRule="auto"/>
              <w:rPr>
                <w:rFonts w:eastAsia="Calibri"/>
                <w:b/>
                <w:sz w:val="20"/>
                <w:szCs w:val="20"/>
              </w:rPr>
            </w:pPr>
            <w:r>
              <w:rPr>
                <w:b/>
                <w:spacing w:val="40"/>
                <w:sz w:val="20"/>
                <w:szCs w:val="20"/>
              </w:rPr>
              <w:t>Anlage 3</w:t>
            </w:r>
          </w:p>
          <w:p>
            <w:pPr>
              <w:tabs>
                <w:tab w:val="right" w:pos="284"/>
                <w:tab w:val="left" w:pos="454"/>
              </w:tabs>
              <w:spacing w:line="276" w:lineRule="auto"/>
              <w:rPr>
                <w:sz w:val="20"/>
                <w:szCs w:val="20"/>
              </w:rPr>
            </w:pPr>
            <w:r>
              <w:rPr>
                <w:sz w:val="20"/>
                <w:szCs w:val="20"/>
              </w:rPr>
              <w:t>(zu Nummer 9 Abs</w:t>
            </w:r>
            <w:r>
              <w:rPr>
                <w:b/>
                <w:sz w:val="20"/>
                <w:szCs w:val="20"/>
              </w:rPr>
              <w:t xml:space="preserve">atz </w:t>
            </w:r>
            <w:r>
              <w:rPr>
                <w:sz w:val="20"/>
                <w:szCs w:val="20"/>
              </w:rPr>
              <w:t>1)</w:t>
            </w:r>
          </w:p>
          <w:p>
            <w:pPr>
              <w:tabs>
                <w:tab w:val="right" w:pos="284"/>
                <w:tab w:val="left" w:pos="454"/>
              </w:tabs>
              <w:spacing w:line="276" w:lineRule="auto"/>
              <w:rPr>
                <w:b/>
                <w:sz w:val="20"/>
                <w:szCs w:val="20"/>
              </w:rPr>
            </w:pPr>
          </w:p>
          <w:p>
            <w:pPr>
              <w:tabs>
                <w:tab w:val="right" w:pos="284"/>
                <w:tab w:val="left" w:pos="454"/>
              </w:tabs>
              <w:spacing w:line="276" w:lineRule="auto"/>
              <w:jc w:val="center"/>
              <w:rPr>
                <w:b/>
                <w:sz w:val="20"/>
                <w:szCs w:val="20"/>
              </w:rPr>
            </w:pPr>
            <w:r>
              <w:rPr>
                <w:b/>
                <w:sz w:val="20"/>
                <w:szCs w:val="20"/>
              </w:rPr>
              <w:t>Lehrpläne</w:t>
            </w:r>
          </w:p>
          <w:p>
            <w:pPr>
              <w:tabs>
                <w:tab w:val="right" w:pos="284"/>
                <w:tab w:val="left" w:pos="454"/>
              </w:tabs>
              <w:spacing w:line="276" w:lineRule="auto"/>
              <w:jc w:val="center"/>
              <w:rPr>
                <w:b/>
                <w:sz w:val="20"/>
                <w:szCs w:val="20"/>
              </w:rPr>
            </w:pPr>
            <w:r>
              <w:rPr>
                <w:b/>
                <w:sz w:val="20"/>
                <w:szCs w:val="20"/>
              </w:rPr>
              <w:t>für die fachtheoretische Ausbildung der Anwärterinnen und Anwärter des zweiten Einstiegsamt der Laufbahngruppe 1 der Laufbahnfachrichtung allgemeiner Verwaltungsdienst im Laufbahnzweig nichttechnischer Verwaltungsdienst an der Verwaltungsakademie Berlin</w:t>
            </w:r>
          </w:p>
          <w:p>
            <w:pPr>
              <w:tabs>
                <w:tab w:val="right" w:pos="284"/>
                <w:tab w:val="left" w:pos="454"/>
              </w:tabs>
              <w:rPr>
                <w:sz w:val="20"/>
                <w:szCs w:val="20"/>
              </w:rPr>
            </w:pPr>
          </w:p>
        </w:tc>
      </w:tr>
      <w:tr>
        <w:trPr>
          <w:trHeight w:val="252"/>
        </w:trPr>
        <w:tc>
          <w:tcPr>
            <w:tcW w:w="9322" w:type="dxa"/>
            <w:tcBorders>
              <w:top w:val="nil"/>
              <w:left w:val="single" w:sz="4" w:space="0" w:color="auto"/>
              <w:bottom w:val="single" w:sz="4" w:space="0" w:color="auto"/>
              <w:right w:val="single" w:sz="4" w:space="0" w:color="auto"/>
            </w:tcBorders>
          </w:tcPr>
          <w:p>
            <w:pPr>
              <w:tabs>
                <w:tab w:val="right" w:pos="284"/>
                <w:tab w:val="left" w:pos="454"/>
              </w:tabs>
              <w:rPr>
                <w:b/>
                <w:sz w:val="20"/>
                <w:szCs w:val="20"/>
              </w:rPr>
            </w:pPr>
            <w:r>
              <w:rPr>
                <w:b/>
                <w:sz w:val="20"/>
                <w:szCs w:val="20"/>
              </w:rPr>
              <w:t>A. Hauptlehrgang</w:t>
            </w:r>
          </w:p>
          <w:p>
            <w:pPr>
              <w:tabs>
                <w:tab w:val="right" w:pos="284"/>
                <w:tab w:val="left" w:pos="454"/>
              </w:tabs>
              <w:rPr>
                <w:sz w:val="20"/>
                <w:szCs w:val="20"/>
              </w:rPr>
            </w:pPr>
            <w:r>
              <w:rPr>
                <w:sz w:val="20"/>
                <w:szCs w:val="20"/>
              </w:rPr>
              <w:t>Der Hauptlehrgang wird in den ersten vier Halbjahren der Ausbildung durchgeführt und beginnt mit dem vierten Monat nach Ausbildungsstart. Er umfasst insgesamt 306 Doppelstunden, die sich auf folgende Fachgebiete aufteilen:</w:t>
            </w:r>
          </w:p>
          <w:p>
            <w:pPr>
              <w:tabs>
                <w:tab w:val="right" w:pos="284"/>
                <w:tab w:val="left" w:pos="454"/>
              </w:tabs>
              <w:rPr>
                <w:sz w:val="20"/>
                <w:szCs w:val="20"/>
              </w:rPr>
            </w:pPr>
          </w:p>
        </w:tc>
      </w:tr>
      <w:tr>
        <w:trPr>
          <w:trHeight w:val="264"/>
        </w:trPr>
        <w:tc>
          <w:tcPr>
            <w:tcW w:w="9322" w:type="dxa"/>
            <w:vMerge w:val="restart"/>
            <w:tcBorders>
              <w:top w:val="single" w:sz="4" w:space="0" w:color="auto"/>
              <w:left w:val="single" w:sz="4" w:space="0" w:color="auto"/>
              <w:bottom w:val="single" w:sz="4" w:space="0" w:color="auto"/>
              <w:right w:val="single" w:sz="4" w:space="0" w:color="auto"/>
            </w:tcBorders>
          </w:tcPr>
          <w:tbl>
            <w:tblPr>
              <w:tblStyle w:val="Tabellenraster2"/>
              <w:tblW w:w="9067" w:type="dxa"/>
              <w:tblInd w:w="0" w:type="dxa"/>
              <w:tblLayout w:type="fixed"/>
              <w:tblLook w:val="04A0" w:firstRow="1" w:lastRow="0" w:firstColumn="1" w:lastColumn="0" w:noHBand="0" w:noVBand="1"/>
            </w:tblPr>
            <w:tblGrid>
              <w:gridCol w:w="5098"/>
              <w:gridCol w:w="1701"/>
              <w:gridCol w:w="2268"/>
            </w:tblGrid>
            <w:tr>
              <w:trPr>
                <w:trHeight w:val="363"/>
              </w:trPr>
              <w:tc>
                <w:tcPr>
                  <w:tcW w:w="509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jc w:val="center"/>
                    <w:rPr>
                      <w:b/>
                      <w:sz w:val="20"/>
                      <w:szCs w:val="20"/>
                    </w:rPr>
                  </w:pPr>
                  <w:r>
                    <w:rPr>
                      <w:b/>
                      <w:sz w:val="20"/>
                      <w:szCs w:val="20"/>
                    </w:rPr>
                    <w:t>Fachgebiete</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jc w:val="center"/>
                    <w:rPr>
                      <w:b/>
                      <w:sz w:val="20"/>
                      <w:szCs w:val="20"/>
                    </w:rPr>
                  </w:pPr>
                  <w:r>
                    <w:rPr>
                      <w:b/>
                      <w:sz w:val="20"/>
                      <w:szCs w:val="20"/>
                    </w:rPr>
                    <w:t>Unterrichtsformat</w:t>
                  </w:r>
                  <w:r>
                    <w:rPr>
                      <w:b/>
                      <w:sz w:val="20"/>
                      <w:szCs w:val="20"/>
                      <w:vertAlign w:val="superscript"/>
                    </w:rPr>
                    <w:footnoteRef/>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jc w:val="center"/>
                    <w:rPr>
                      <w:b/>
                      <w:sz w:val="20"/>
                      <w:szCs w:val="20"/>
                    </w:rPr>
                  </w:pPr>
                  <w:r>
                    <w:rPr>
                      <w:b/>
                      <w:sz w:val="20"/>
                      <w:szCs w:val="20"/>
                    </w:rPr>
                    <w:t>Leistungsnachweis</w:t>
                  </w:r>
                  <w:r>
                    <w:rPr>
                      <w:b/>
                      <w:sz w:val="20"/>
                      <w:szCs w:val="20"/>
                      <w:vertAlign w:val="superscript"/>
                    </w:rPr>
                    <w:t>2</w:t>
                  </w:r>
                </w:p>
              </w:tc>
            </w:tr>
            <w:tr>
              <w:trPr>
                <w:trHeight w:val="363"/>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426"/>
                    </w:tabs>
                    <w:suppressOverlap/>
                    <w:rPr>
                      <w:sz w:val="20"/>
                      <w:szCs w:val="20"/>
                    </w:rPr>
                  </w:pPr>
                  <w:r>
                    <w:rPr>
                      <w:sz w:val="20"/>
                      <w:szCs w:val="20"/>
                    </w:rPr>
                    <w:t xml:space="preserve">Einführung in die Ausbildung </w:t>
                  </w:r>
                </w:p>
                <w:p>
                  <w:pPr>
                    <w:framePr w:hSpace="141" w:wrap="around" w:vAnchor="text" w:hAnchor="text" w:x="-185" w:y="1"/>
                    <w:tabs>
                      <w:tab w:val="left" w:pos="-426"/>
                    </w:tabs>
                    <w:suppressOverlap/>
                    <w:rPr>
                      <w:sz w:val="20"/>
                      <w:szCs w:val="20"/>
                    </w:rPr>
                  </w:pPr>
                  <w:r>
                    <w:rPr>
                      <w:sz w:val="20"/>
                      <w:szCs w:val="20"/>
                    </w:rPr>
                    <w:t>(einschl. Lern-, Arbeitstechniken)</w:t>
                  </w:r>
                </w:p>
              </w:tc>
              <w:tc>
                <w:tcPr>
                  <w:tcW w:w="1701" w:type="dxa"/>
                  <w:tcBorders>
                    <w:top w:val="single" w:sz="4" w:space="0" w:color="auto"/>
                    <w:left w:val="single" w:sz="4" w:space="0" w:color="auto"/>
                    <w:bottom w:val="single" w:sz="4" w:space="0" w:color="auto"/>
                    <w:right w:val="single" w:sz="4" w:space="0" w:color="auto"/>
                  </w:tcBorders>
                </w:tcPr>
                <w:p>
                  <w:pPr>
                    <w:framePr w:hSpace="141" w:wrap="around" w:vAnchor="text" w:hAnchor="text" w:x="-185" w:y="1"/>
                    <w:tabs>
                      <w:tab w:val="left" w:pos="0"/>
                    </w:tabs>
                    <w:suppressOverlap/>
                    <w:rPr>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426"/>
                    </w:tabs>
                    <w:suppressOverlap/>
                    <w:rPr>
                      <w:sz w:val="20"/>
                      <w:szCs w:val="20"/>
                    </w:rPr>
                  </w:pPr>
                  <w:r>
                    <w:rPr>
                      <w:sz w:val="20"/>
                      <w:szCs w:val="20"/>
                    </w:rPr>
                    <w:t xml:space="preserve">Einführung in das juristische Denken </w:t>
                  </w:r>
                </w:p>
              </w:tc>
              <w:tc>
                <w:tcPr>
                  <w:tcW w:w="1701" w:type="dxa"/>
                  <w:tcBorders>
                    <w:top w:val="single" w:sz="4" w:space="0" w:color="auto"/>
                    <w:left w:val="single" w:sz="4" w:space="0" w:color="auto"/>
                    <w:bottom w:val="single" w:sz="4" w:space="0" w:color="auto"/>
                    <w:right w:val="single" w:sz="4" w:space="0" w:color="auto"/>
                  </w:tcBorders>
                </w:tcPr>
                <w:p>
                  <w:pPr>
                    <w:framePr w:hSpace="141" w:wrap="around" w:vAnchor="text" w:hAnchor="text" w:x="-185" w:y="1"/>
                    <w:tabs>
                      <w:tab w:val="left" w:pos="0"/>
                    </w:tabs>
                    <w:suppressOverlap/>
                    <w:rPr>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w:t>
                  </w:r>
                </w:p>
              </w:tc>
            </w:tr>
            <w:tr>
              <w:trPr>
                <w:trHeight w:val="181"/>
              </w:trPr>
              <w:tc>
                <w:tcPr>
                  <w:tcW w:w="5098"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Diversity (einschl. Inklusion, interkulturelle Kompetenz)</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T</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w:t>
                  </w:r>
                </w:p>
              </w:tc>
            </w:tr>
            <w:tr>
              <w:trPr>
                <w:trHeight w:val="181"/>
              </w:trPr>
              <w:tc>
                <w:tcPr>
                  <w:tcW w:w="5098"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Kommunikation</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T</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w:t>
                  </w:r>
                </w:p>
              </w:tc>
            </w:tr>
            <w:tr>
              <w:trPr>
                <w:trHeight w:val="181"/>
              </w:trPr>
              <w:tc>
                <w:tcPr>
                  <w:tcW w:w="5098"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Projekt „Berliner Verwaltung“</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P</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pPr>
                    <w:framePr w:hSpace="141" w:wrap="around" w:vAnchor="text" w:hAnchor="text" w:x="-185" w:y="1"/>
                    <w:tabs>
                      <w:tab w:val="left" w:pos="0"/>
                    </w:tabs>
                    <w:suppressOverlap/>
                    <w:rPr>
                      <w:sz w:val="20"/>
                      <w:szCs w:val="20"/>
                    </w:rPr>
                  </w:pPr>
                  <w:r>
                    <w:rPr>
                      <w:sz w:val="20"/>
                      <w:szCs w:val="20"/>
                    </w:rPr>
                    <w:t>P</w:t>
                  </w:r>
                </w:p>
              </w:tc>
            </w:tr>
            <w:tr>
              <w:trPr>
                <w:trHeight w:val="181"/>
              </w:trPr>
              <w:tc>
                <w:tcPr>
                  <w:tcW w:w="5098" w:type="dxa"/>
                  <w:tcBorders>
                    <w:top w:val="single" w:sz="4" w:space="0" w:color="auto"/>
                    <w:left w:val="single" w:sz="4" w:space="0" w:color="auto"/>
                    <w:bottom w:val="single" w:sz="4" w:space="0" w:color="auto"/>
                    <w:right w:val="single" w:sz="4" w:space="0" w:color="auto"/>
                  </w:tcBorders>
                  <w:shd w:val="clear" w:color="auto" w:fill="FFFFFF"/>
                  <w:hideMark/>
                </w:tcPr>
                <w:p>
                  <w:pPr>
                    <w:framePr w:hSpace="141" w:wrap="around" w:vAnchor="text" w:hAnchor="text" w:x="-185" w:y="1"/>
                    <w:tabs>
                      <w:tab w:val="left" w:pos="0"/>
                    </w:tabs>
                    <w:suppressOverlap/>
                    <w:rPr>
                      <w:sz w:val="20"/>
                      <w:szCs w:val="20"/>
                    </w:rPr>
                  </w:pPr>
                  <w:r>
                    <w:rPr>
                      <w:sz w:val="20"/>
                      <w:szCs w:val="20"/>
                    </w:rPr>
                    <w:t>Politik und Verwaltung</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pPr>
                    <w:framePr w:hSpace="141" w:wrap="around" w:vAnchor="text" w:hAnchor="text" w:x="-185" w:y="1"/>
                    <w:tabs>
                      <w:tab w:val="left" w:pos="0"/>
                    </w:tabs>
                    <w:suppressOverlap/>
                    <w:rPr>
                      <w:sz w:val="20"/>
                      <w:szCs w:val="20"/>
                    </w:rPr>
                  </w:pPr>
                  <w:r>
                    <w:rPr>
                      <w:sz w:val="20"/>
                      <w:szCs w:val="20"/>
                    </w:rPr>
                    <w:t>P</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Berliner Verfassungsrecht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H</w:t>
                  </w:r>
                </w:p>
              </w:tc>
            </w:tr>
            <w:tr>
              <w:trPr>
                <w:trHeight w:val="363"/>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Verwaltungstechnik / -organisation</w:t>
                  </w:r>
                </w:p>
                <w:p>
                  <w:pPr>
                    <w:framePr w:hSpace="141" w:wrap="around" w:vAnchor="text" w:hAnchor="text" w:x="-185" w:y="1"/>
                    <w:tabs>
                      <w:tab w:val="left" w:pos="0"/>
                    </w:tabs>
                    <w:suppressOverlap/>
                    <w:rPr>
                      <w:sz w:val="20"/>
                      <w:szCs w:val="20"/>
                    </w:rPr>
                  </w:pPr>
                  <w:r>
                    <w:rPr>
                      <w:sz w:val="20"/>
                      <w:szCs w:val="20"/>
                    </w:rPr>
                    <w:t>(incl. Übungen am PC)</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 (elektronisch)</w:t>
                  </w:r>
                </w:p>
              </w:tc>
            </w:tr>
            <w:tr>
              <w:trPr>
                <w:trHeight w:val="363"/>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 xml:space="preserve">Informationstechnik </w:t>
                  </w:r>
                </w:p>
                <w:p>
                  <w:pPr>
                    <w:framePr w:hSpace="141" w:wrap="around" w:vAnchor="text" w:hAnchor="text" w:x="-185" w:y="1"/>
                    <w:tabs>
                      <w:tab w:val="left" w:pos="0"/>
                    </w:tabs>
                    <w:suppressOverlap/>
                    <w:rPr>
                      <w:sz w:val="20"/>
                      <w:szCs w:val="20"/>
                    </w:rPr>
                  </w:pPr>
                  <w:r>
                    <w:rPr>
                      <w:sz w:val="20"/>
                      <w:szCs w:val="20"/>
                    </w:rPr>
                    <w:t>(einschl. Ergonomie, Datenschutz, Datensicherheit)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 (elektronisch)</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Staatsrecht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Allgemeines Verwaltungsrecht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Polizei- und Ordnungsrecht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Haushaltsrecht (einschl. Vergaberecht)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Verwaltungs-Betriebswirtschaft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Beamtenrecht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(öffentliches) Arbeitsrecht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363"/>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Sozialhilferecht (SGB I, X, XII),</w:t>
                  </w:r>
                </w:p>
                <w:p>
                  <w:pPr>
                    <w:framePr w:hSpace="141" w:wrap="around" w:vAnchor="text" w:hAnchor="text" w:x="-185" w:y="1"/>
                    <w:tabs>
                      <w:tab w:val="left" w:pos="0"/>
                    </w:tabs>
                    <w:suppressOverlap/>
                    <w:rPr>
                      <w:sz w:val="20"/>
                      <w:szCs w:val="20"/>
                    </w:rPr>
                  </w:pPr>
                  <w:r>
                    <w:rPr>
                      <w:sz w:val="20"/>
                      <w:szCs w:val="20"/>
                    </w:rPr>
                    <w:t>Grundzüge der Sozialversicherung</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181"/>
              </w:trP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Zivilrecht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rPr>
                <w:trHeight w:val="727"/>
              </w:trPr>
              <w:tc>
                <w:tcPr>
                  <w:tcW w:w="509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rPr>
                      <w:b/>
                      <w:sz w:val="20"/>
                      <w:szCs w:val="20"/>
                    </w:rPr>
                  </w:pPr>
                  <w:r>
                    <w:rPr>
                      <w:b/>
                      <w:sz w:val="20"/>
                      <w:szCs w:val="20"/>
                    </w:rPr>
                    <w:t>gesamt</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pPr>
                    <w:framePr w:hSpace="141" w:wrap="around" w:vAnchor="text" w:hAnchor="text" w:x="-185" w:y="1"/>
                    <w:tabs>
                      <w:tab w:val="left" w:pos="0"/>
                    </w:tabs>
                    <w:suppressOverlap/>
                    <w:rPr>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rPr>
                      <w:b/>
                      <w:sz w:val="20"/>
                      <w:szCs w:val="20"/>
                    </w:rPr>
                  </w:pPr>
                  <w:r>
                    <w:rPr>
                      <w:b/>
                      <w:sz w:val="20"/>
                      <w:szCs w:val="20"/>
                    </w:rPr>
                    <w:t>2 x P</w:t>
                  </w:r>
                </w:p>
                <w:p>
                  <w:pPr>
                    <w:framePr w:hSpace="141" w:wrap="around" w:vAnchor="text" w:hAnchor="text" w:x="-185" w:y="1"/>
                    <w:tabs>
                      <w:tab w:val="left" w:pos="0"/>
                    </w:tabs>
                    <w:suppressOverlap/>
                    <w:rPr>
                      <w:b/>
                      <w:sz w:val="20"/>
                      <w:szCs w:val="20"/>
                    </w:rPr>
                  </w:pPr>
                  <w:r>
                    <w:rPr>
                      <w:b/>
                      <w:sz w:val="20"/>
                      <w:szCs w:val="20"/>
                    </w:rPr>
                    <w:t>1 x H</w:t>
                  </w:r>
                </w:p>
                <w:p>
                  <w:pPr>
                    <w:framePr w:hSpace="141" w:wrap="around" w:vAnchor="text" w:hAnchor="text" w:x="-185" w:y="1"/>
                    <w:tabs>
                      <w:tab w:val="left" w:pos="0"/>
                    </w:tabs>
                    <w:suppressOverlap/>
                    <w:rPr>
                      <w:b/>
                      <w:sz w:val="20"/>
                      <w:szCs w:val="20"/>
                    </w:rPr>
                  </w:pPr>
                  <w:r>
                    <w:rPr>
                      <w:b/>
                      <w:sz w:val="20"/>
                      <w:szCs w:val="20"/>
                    </w:rPr>
                    <w:t>2 x K (elektr.)</w:t>
                  </w:r>
                </w:p>
                <w:p>
                  <w:pPr>
                    <w:framePr w:hSpace="141" w:wrap="around" w:vAnchor="text" w:hAnchor="text" w:x="-185" w:y="1"/>
                    <w:tabs>
                      <w:tab w:val="left" w:pos="0"/>
                    </w:tabs>
                    <w:suppressOverlap/>
                    <w:rPr>
                      <w:b/>
                      <w:sz w:val="20"/>
                      <w:szCs w:val="20"/>
                    </w:rPr>
                  </w:pPr>
                  <w:r>
                    <w:rPr>
                      <w:b/>
                      <w:sz w:val="20"/>
                      <w:szCs w:val="20"/>
                    </w:rPr>
                    <w:t>9 x K</w:t>
                  </w:r>
                </w:p>
              </w:tc>
            </w:tr>
          </w:tbl>
          <w:p>
            <w:pPr>
              <w:tabs>
                <w:tab w:val="right" w:pos="284"/>
                <w:tab w:val="left" w:pos="454"/>
              </w:tabs>
              <w:spacing w:line="276" w:lineRule="auto"/>
              <w:rPr>
                <w:sz w:val="20"/>
                <w:szCs w:val="20"/>
              </w:rPr>
            </w:pPr>
          </w:p>
          <w:p>
            <w:pPr>
              <w:tabs>
                <w:tab w:val="right" w:pos="284"/>
                <w:tab w:val="left" w:pos="454"/>
              </w:tabs>
              <w:spacing w:line="276" w:lineRule="auto"/>
              <w:rPr>
                <w:rFonts w:eastAsia="Calibri"/>
                <w:sz w:val="18"/>
                <w:szCs w:val="20"/>
              </w:rPr>
            </w:pPr>
            <w:r>
              <w:rPr>
                <w:sz w:val="18"/>
                <w:szCs w:val="20"/>
                <w:vertAlign w:val="superscript"/>
              </w:rPr>
              <w:footnoteRef/>
            </w:r>
            <w:r>
              <w:rPr>
                <w:sz w:val="18"/>
                <w:szCs w:val="20"/>
              </w:rPr>
              <w:t xml:space="preserve"> T = Training, P = Projekt, U = fachlicher Unterricht</w:t>
            </w:r>
          </w:p>
          <w:p>
            <w:pPr>
              <w:tabs>
                <w:tab w:val="right" w:pos="284"/>
                <w:tab w:val="left" w:pos="454"/>
              </w:tabs>
              <w:spacing w:line="276" w:lineRule="auto"/>
              <w:rPr>
                <w:sz w:val="18"/>
                <w:szCs w:val="20"/>
              </w:rPr>
            </w:pPr>
            <w:r>
              <w:rPr>
                <w:sz w:val="18"/>
                <w:szCs w:val="20"/>
                <w:vertAlign w:val="superscript"/>
              </w:rPr>
              <w:t>2</w:t>
            </w:r>
            <w:r>
              <w:rPr>
                <w:sz w:val="18"/>
                <w:szCs w:val="20"/>
              </w:rPr>
              <w:t xml:space="preserve"> P = Präsentation (10 Minuten + 2 Seiten Thesenpapier), K = Klausur (2 DStd), H = Hausarbeit (10 Seiten)</w:t>
            </w:r>
          </w:p>
          <w:p>
            <w:pPr>
              <w:tabs>
                <w:tab w:val="right" w:pos="284"/>
                <w:tab w:val="left" w:pos="454"/>
              </w:tabs>
              <w:spacing w:line="276" w:lineRule="auto"/>
              <w:rPr>
                <w:sz w:val="20"/>
                <w:szCs w:val="20"/>
              </w:rPr>
            </w:pP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20"/>
                <w:szCs w:val="20"/>
              </w:rPr>
            </w:pP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20"/>
                <w:szCs w:val="20"/>
              </w:rPr>
            </w:pP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20"/>
                <w:szCs w:val="20"/>
              </w:rPr>
            </w:pP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20"/>
                <w:szCs w:val="20"/>
              </w:rPr>
            </w:pP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20"/>
                <w:szCs w:val="20"/>
              </w:rPr>
            </w:pP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20"/>
                <w:szCs w:val="20"/>
              </w:rPr>
            </w:pPr>
          </w:p>
        </w:tc>
      </w:tr>
    </w:tbl>
    <w:p>
      <w:r>
        <w:br w:type="page"/>
      </w:r>
    </w:p>
    <w:tbl>
      <w:tblPr>
        <w:tblStyle w:val="Tabellenraster2"/>
        <w:tblpPr w:leftFromText="141" w:rightFromText="141" w:vertAnchor="text" w:tblpX="-185" w:tblpY="1"/>
        <w:tblOverlap w:val="never"/>
        <w:tblW w:w="9322" w:type="dxa"/>
        <w:tblInd w:w="0" w:type="dxa"/>
        <w:tblLayout w:type="fixed"/>
        <w:tblLook w:val="04A0" w:firstRow="1" w:lastRow="0" w:firstColumn="1" w:lastColumn="0" w:noHBand="0" w:noVBand="1"/>
      </w:tblPr>
      <w:tblGrid>
        <w:gridCol w:w="9322"/>
      </w:tblGrid>
      <w:tr>
        <w:trPr>
          <w:trHeight w:val="252"/>
        </w:trPr>
        <w:tc>
          <w:tcPr>
            <w:tcW w:w="932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276" w:lineRule="auto"/>
              <w:rPr>
                <w:sz w:val="20"/>
                <w:szCs w:val="20"/>
              </w:rPr>
            </w:pPr>
          </w:p>
        </w:tc>
      </w:tr>
      <w:tr>
        <w:trPr>
          <w:trHeight w:val="252"/>
        </w:trPr>
        <w:tc>
          <w:tcPr>
            <w:tcW w:w="9322" w:type="dxa"/>
            <w:tcBorders>
              <w:top w:val="single" w:sz="4" w:space="0" w:color="auto"/>
              <w:left w:val="single" w:sz="4" w:space="0" w:color="auto"/>
              <w:bottom w:val="single" w:sz="4" w:space="0" w:color="auto"/>
              <w:right w:val="single" w:sz="4" w:space="0" w:color="auto"/>
            </w:tcBorders>
          </w:tcPr>
          <w:p>
            <w:pPr>
              <w:tabs>
                <w:tab w:val="right" w:pos="284"/>
                <w:tab w:val="left" w:pos="454"/>
              </w:tabs>
              <w:spacing w:line="276" w:lineRule="auto"/>
              <w:rPr>
                <w:b/>
                <w:sz w:val="20"/>
                <w:szCs w:val="20"/>
              </w:rPr>
            </w:pPr>
            <w:r>
              <w:rPr>
                <w:b/>
                <w:sz w:val="20"/>
                <w:szCs w:val="20"/>
              </w:rPr>
              <w:t>B. Abschlusslehrgang</w:t>
            </w:r>
          </w:p>
          <w:p>
            <w:pPr>
              <w:tabs>
                <w:tab w:val="right" w:pos="284"/>
                <w:tab w:val="left" w:pos="454"/>
              </w:tabs>
              <w:spacing w:line="276" w:lineRule="auto"/>
              <w:rPr>
                <w:sz w:val="20"/>
                <w:szCs w:val="20"/>
              </w:rPr>
            </w:pPr>
            <w:r>
              <w:rPr>
                <w:sz w:val="20"/>
                <w:szCs w:val="20"/>
              </w:rPr>
              <w:t xml:space="preserve">Der Abschlusslehrgang beginnt im letzten Ausbildungshalbjahr und dauert ca. zwei bis drei Monate. In dieser Zeit erfolgt keine praktische Ausbildung. Er dient der Aktualisierung, Wiederholung und Vertiefung des im Hauptlehrgang erworbenen Wissensstoffes und bereitet auf die Laufbahnprüfung vor. </w:t>
            </w:r>
          </w:p>
          <w:p>
            <w:pPr>
              <w:tabs>
                <w:tab w:val="right" w:pos="284"/>
                <w:tab w:val="left" w:pos="454"/>
              </w:tabs>
              <w:spacing w:line="276" w:lineRule="auto"/>
              <w:rPr>
                <w:sz w:val="20"/>
                <w:szCs w:val="20"/>
              </w:rPr>
            </w:pPr>
            <w:r>
              <w:rPr>
                <w:sz w:val="20"/>
                <w:szCs w:val="20"/>
              </w:rPr>
              <w:t>Er umfasst insgesamt 122 Doppelstunden, die sich auf folgende Fachgebiete aufteilen:</w:t>
            </w:r>
          </w:p>
          <w:p>
            <w:pPr>
              <w:tabs>
                <w:tab w:val="right" w:pos="284"/>
                <w:tab w:val="left" w:pos="454"/>
              </w:tabs>
              <w:spacing w:line="276" w:lineRule="auto"/>
              <w:rPr>
                <w:sz w:val="20"/>
                <w:szCs w:val="20"/>
              </w:rPr>
            </w:pPr>
          </w:p>
        </w:tc>
      </w:tr>
      <w:tr>
        <w:trPr>
          <w:trHeight w:val="264"/>
        </w:trPr>
        <w:tc>
          <w:tcPr>
            <w:tcW w:w="9322" w:type="dxa"/>
            <w:vMerge w:val="restart"/>
            <w:tcBorders>
              <w:top w:val="single" w:sz="4" w:space="0" w:color="auto"/>
              <w:left w:val="single" w:sz="4" w:space="0" w:color="auto"/>
              <w:bottom w:val="single" w:sz="4" w:space="0" w:color="auto"/>
              <w:right w:val="single" w:sz="4" w:space="0" w:color="auto"/>
            </w:tcBorders>
          </w:tcPr>
          <w:tbl>
            <w:tblPr>
              <w:tblStyle w:val="Tabellenraster2"/>
              <w:tblW w:w="9067" w:type="dxa"/>
              <w:tblInd w:w="0" w:type="dxa"/>
              <w:tblLayout w:type="fixed"/>
              <w:tblLook w:val="04A0" w:firstRow="1" w:lastRow="0" w:firstColumn="1" w:lastColumn="0" w:noHBand="0" w:noVBand="1"/>
            </w:tblPr>
            <w:tblGrid>
              <w:gridCol w:w="5098"/>
              <w:gridCol w:w="1701"/>
              <w:gridCol w:w="2268"/>
            </w:tblGrid>
            <w:tr>
              <w:tc>
                <w:tcPr>
                  <w:tcW w:w="509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jc w:val="center"/>
                    <w:rPr>
                      <w:b/>
                      <w:sz w:val="20"/>
                      <w:szCs w:val="20"/>
                    </w:rPr>
                  </w:pPr>
                  <w:r>
                    <w:rPr>
                      <w:b/>
                      <w:sz w:val="20"/>
                      <w:szCs w:val="20"/>
                    </w:rPr>
                    <w:t>Fachgebiete</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jc w:val="center"/>
                    <w:rPr>
                      <w:b/>
                      <w:sz w:val="20"/>
                      <w:szCs w:val="20"/>
                    </w:rPr>
                  </w:pPr>
                  <w:r>
                    <w:rPr>
                      <w:b/>
                      <w:sz w:val="20"/>
                      <w:szCs w:val="20"/>
                    </w:rPr>
                    <w:t>Unterrichtsformat</w:t>
                  </w:r>
                  <w:r>
                    <w:rPr>
                      <w:b/>
                      <w:sz w:val="20"/>
                      <w:szCs w:val="20"/>
                      <w:vertAlign w:val="superscript"/>
                    </w:rPr>
                    <w:footnoteRef/>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jc w:val="center"/>
                    <w:rPr>
                      <w:b/>
                      <w:sz w:val="20"/>
                      <w:szCs w:val="20"/>
                    </w:rPr>
                  </w:pPr>
                  <w:r>
                    <w:rPr>
                      <w:b/>
                      <w:sz w:val="20"/>
                      <w:szCs w:val="20"/>
                    </w:rPr>
                    <w:t>Leistungsnachweis</w:t>
                  </w:r>
                  <w:r>
                    <w:rPr>
                      <w:b/>
                      <w:sz w:val="20"/>
                      <w:szCs w:val="20"/>
                      <w:vertAlign w:val="superscript"/>
                    </w:rPr>
                    <w:t>2</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 xml:space="preserve">Prüfungsverfahren, -technik (schriftlich, mündlich) </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T</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Verwaltungs- / Organisationstechnik</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Informations- und Kommunikationstechnik</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Allgemeines Verwaltungsrecht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Sozialhilferecht (SGB I, X, XII),</w:t>
                  </w:r>
                </w:p>
                <w:p>
                  <w:pPr>
                    <w:framePr w:hSpace="141" w:wrap="around" w:vAnchor="text" w:hAnchor="text" w:x="-185" w:y="1"/>
                    <w:tabs>
                      <w:tab w:val="left" w:pos="0"/>
                    </w:tabs>
                    <w:suppressOverlap/>
                    <w:rPr>
                      <w:sz w:val="20"/>
                      <w:szCs w:val="20"/>
                    </w:rPr>
                  </w:pPr>
                  <w:r>
                    <w:rPr>
                      <w:sz w:val="20"/>
                      <w:szCs w:val="20"/>
                    </w:rPr>
                    <w:t>Grundzüge der Sozialversicherung</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Staatsrecht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Polizei- und Ordnungsrecht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Haushaltsrecht (einschl. Vergaberecht)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Beamtenrecht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c>
                <w:tcPr>
                  <w:tcW w:w="509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(öffentliches) Arbeitsrecht</w:t>
                  </w:r>
                </w:p>
              </w:tc>
              <w:tc>
                <w:tcPr>
                  <w:tcW w:w="1701"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hideMark/>
                </w:tcPr>
                <w:p>
                  <w:pPr>
                    <w:framePr w:hSpace="141" w:wrap="around" w:vAnchor="text" w:hAnchor="text" w:x="-185" w:y="1"/>
                    <w:tabs>
                      <w:tab w:val="left" w:pos="0"/>
                    </w:tabs>
                    <w:suppressOverlap/>
                    <w:rPr>
                      <w:sz w:val="20"/>
                      <w:szCs w:val="20"/>
                    </w:rPr>
                  </w:pPr>
                  <w:r>
                    <w:rPr>
                      <w:sz w:val="20"/>
                      <w:szCs w:val="20"/>
                    </w:rPr>
                    <w:t>K</w:t>
                  </w:r>
                </w:p>
              </w:tc>
            </w:tr>
            <w:tr>
              <w:tc>
                <w:tcPr>
                  <w:tcW w:w="5098" w:type="dxa"/>
                  <w:tcBorders>
                    <w:top w:val="single" w:sz="4" w:space="0" w:color="auto"/>
                    <w:left w:val="single" w:sz="4" w:space="0" w:color="auto"/>
                    <w:bottom w:val="single" w:sz="4" w:space="0" w:color="auto"/>
                    <w:right w:val="single" w:sz="4" w:space="0" w:color="auto"/>
                  </w:tcBorders>
                </w:tcPr>
                <w:p>
                  <w:pPr>
                    <w:framePr w:hSpace="141" w:wrap="around" w:vAnchor="text" w:hAnchor="text" w:x="-185" w:y="1"/>
                    <w:tabs>
                      <w:tab w:val="left" w:pos="0"/>
                    </w:tabs>
                    <w:suppressOverlap/>
                    <w:rPr>
                      <w:sz w:val="20"/>
                      <w:szCs w:val="20"/>
                    </w:rPr>
                  </w:pPr>
                  <w:r>
                    <w:rPr>
                      <w:sz w:val="20"/>
                      <w:szCs w:val="20"/>
                    </w:rPr>
                    <w:t>Zivilrecht</w:t>
                  </w:r>
                </w:p>
              </w:tc>
              <w:tc>
                <w:tcPr>
                  <w:tcW w:w="1701" w:type="dxa"/>
                  <w:tcBorders>
                    <w:top w:val="single" w:sz="4" w:space="0" w:color="auto"/>
                    <w:left w:val="single" w:sz="4" w:space="0" w:color="auto"/>
                    <w:bottom w:val="single" w:sz="4" w:space="0" w:color="auto"/>
                    <w:right w:val="single" w:sz="4" w:space="0" w:color="auto"/>
                  </w:tcBorders>
                </w:tcPr>
                <w:p>
                  <w:pPr>
                    <w:framePr w:hSpace="141" w:wrap="around" w:vAnchor="text" w:hAnchor="text" w:x="-185" w:y="1"/>
                    <w:tabs>
                      <w:tab w:val="left" w:pos="0"/>
                    </w:tabs>
                    <w:suppressOverlap/>
                    <w:rPr>
                      <w:sz w:val="20"/>
                      <w:szCs w:val="20"/>
                    </w:rPr>
                  </w:pPr>
                  <w:r>
                    <w:rPr>
                      <w:sz w:val="20"/>
                      <w:szCs w:val="20"/>
                    </w:rPr>
                    <w:t>U</w:t>
                  </w:r>
                </w:p>
              </w:tc>
              <w:tc>
                <w:tcPr>
                  <w:tcW w:w="2268" w:type="dxa"/>
                  <w:tcBorders>
                    <w:top w:val="single" w:sz="4" w:space="0" w:color="auto"/>
                    <w:left w:val="single" w:sz="4" w:space="0" w:color="auto"/>
                    <w:bottom w:val="single" w:sz="4" w:space="0" w:color="auto"/>
                    <w:right w:val="single" w:sz="4" w:space="0" w:color="auto"/>
                  </w:tcBorders>
                </w:tcPr>
                <w:p>
                  <w:pPr>
                    <w:framePr w:hSpace="141" w:wrap="around" w:vAnchor="text" w:hAnchor="text" w:x="-185" w:y="1"/>
                    <w:tabs>
                      <w:tab w:val="left" w:pos="0"/>
                    </w:tabs>
                    <w:suppressOverlap/>
                    <w:rPr>
                      <w:sz w:val="20"/>
                      <w:szCs w:val="20"/>
                    </w:rPr>
                  </w:pPr>
                  <w:r>
                    <w:rPr>
                      <w:sz w:val="20"/>
                      <w:szCs w:val="20"/>
                    </w:rPr>
                    <w:t>-</w:t>
                  </w:r>
                </w:p>
              </w:tc>
            </w:tr>
            <w:tr>
              <w:tc>
                <w:tcPr>
                  <w:tcW w:w="509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rPr>
                      <w:b/>
                      <w:sz w:val="20"/>
                      <w:szCs w:val="20"/>
                    </w:rPr>
                  </w:pPr>
                  <w:r>
                    <w:rPr>
                      <w:b/>
                      <w:sz w:val="20"/>
                      <w:szCs w:val="20"/>
                    </w:rPr>
                    <w:t>gesamt</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pPr>
                    <w:framePr w:hSpace="141" w:wrap="around" w:vAnchor="text" w:hAnchor="text" w:x="-185" w:y="1"/>
                    <w:tabs>
                      <w:tab w:val="left" w:pos="0"/>
                    </w:tabs>
                    <w:suppressOverlap/>
                    <w:rPr>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pPr>
                    <w:framePr w:hSpace="141" w:wrap="around" w:vAnchor="text" w:hAnchor="text" w:x="-185" w:y="1"/>
                    <w:tabs>
                      <w:tab w:val="left" w:pos="0"/>
                    </w:tabs>
                    <w:suppressOverlap/>
                    <w:rPr>
                      <w:b/>
                      <w:sz w:val="20"/>
                      <w:szCs w:val="20"/>
                    </w:rPr>
                  </w:pPr>
                  <w:r>
                    <w:rPr>
                      <w:b/>
                      <w:sz w:val="20"/>
                      <w:szCs w:val="20"/>
                    </w:rPr>
                    <w:t>5 x K</w:t>
                  </w:r>
                </w:p>
              </w:tc>
            </w:tr>
          </w:tbl>
          <w:p>
            <w:pPr>
              <w:tabs>
                <w:tab w:val="right" w:pos="284"/>
                <w:tab w:val="left" w:pos="454"/>
              </w:tabs>
              <w:spacing w:line="276" w:lineRule="auto"/>
              <w:rPr>
                <w:rFonts w:eastAsia="Calibri"/>
                <w:sz w:val="20"/>
                <w:szCs w:val="20"/>
              </w:rPr>
            </w:pPr>
          </w:p>
          <w:p>
            <w:pPr>
              <w:tabs>
                <w:tab w:val="right" w:pos="284"/>
                <w:tab w:val="left" w:pos="454"/>
              </w:tabs>
              <w:spacing w:line="276" w:lineRule="auto"/>
              <w:rPr>
                <w:sz w:val="18"/>
                <w:szCs w:val="20"/>
              </w:rPr>
            </w:pPr>
            <w:r>
              <w:rPr>
                <w:sz w:val="18"/>
                <w:szCs w:val="20"/>
                <w:vertAlign w:val="superscript"/>
              </w:rPr>
              <w:footnoteRef/>
            </w:r>
            <w:r>
              <w:rPr>
                <w:sz w:val="18"/>
                <w:szCs w:val="20"/>
              </w:rPr>
              <w:t xml:space="preserve"> T = Training, P = Projekt, U = fachlicher Unterricht</w:t>
            </w:r>
          </w:p>
          <w:p>
            <w:pPr>
              <w:tabs>
                <w:tab w:val="right" w:pos="284"/>
                <w:tab w:val="left" w:pos="454"/>
              </w:tabs>
              <w:spacing w:line="276" w:lineRule="auto"/>
              <w:rPr>
                <w:sz w:val="20"/>
                <w:szCs w:val="20"/>
              </w:rPr>
            </w:pPr>
            <w:r>
              <w:rPr>
                <w:sz w:val="18"/>
                <w:szCs w:val="20"/>
                <w:vertAlign w:val="superscript"/>
              </w:rPr>
              <w:t>2</w:t>
            </w:r>
            <w:r>
              <w:rPr>
                <w:sz w:val="18"/>
                <w:szCs w:val="20"/>
              </w:rPr>
              <w:t xml:space="preserve"> P = Präsentation (10 Minuten + 2 Seiten Thesenpapier), K = Klausur (2 DStd), H = Hausarbeit (10 Seiten)</w:t>
            </w: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16"/>
                <w:szCs w:val="16"/>
              </w:rPr>
            </w:pPr>
          </w:p>
        </w:tc>
      </w:tr>
      <w:tr>
        <w:trPr>
          <w:trHeight w:val="252"/>
        </w:trPr>
        <w:tc>
          <w:tcPr>
            <w:tcW w:w="9322" w:type="dxa"/>
            <w:vMerge/>
            <w:tcBorders>
              <w:top w:val="single" w:sz="4" w:space="0" w:color="auto"/>
              <w:left w:val="single" w:sz="4" w:space="0" w:color="auto"/>
              <w:bottom w:val="single" w:sz="4" w:space="0" w:color="auto"/>
              <w:right w:val="single" w:sz="4" w:space="0" w:color="auto"/>
            </w:tcBorders>
            <w:vAlign w:val="center"/>
            <w:hideMark/>
          </w:tcPr>
          <w:p>
            <w:pPr>
              <w:rPr>
                <w:rFonts w:eastAsia="Calibri"/>
                <w:sz w:val="16"/>
                <w:szCs w:val="16"/>
              </w:rPr>
            </w:pPr>
          </w:p>
        </w:tc>
      </w:tr>
    </w:tbl>
    <w:p>
      <w:pPr>
        <w:spacing w:after="200" w:line="276" w:lineRule="auto"/>
        <w:rPr>
          <w:rFonts w:cs="Arial"/>
          <w:sz w:val="24"/>
          <w:szCs w:val="24"/>
        </w:rPr>
      </w:pPr>
    </w:p>
    <w:sectPr>
      <w:footerReference w:type="default" r:id="rId8"/>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tabs>
        <w:tab w:val="clear" w:pos="4536"/>
      </w:tabs>
      <w:rPr>
        <w:sz w:val="18"/>
        <w:szCs w:val="18"/>
      </w:rPr>
    </w:pPr>
    <w:r>
      <w:rPr>
        <w:bCs/>
        <w:sz w:val="16"/>
        <w:szCs w:val="16"/>
      </w:rPr>
      <w:tab/>
    </w:r>
    <w:r>
      <w:rPr>
        <w:bCs/>
        <w:sz w:val="18"/>
        <w:szCs w:val="18"/>
      </w:rPr>
      <w:fldChar w:fldCharType="begin"/>
    </w:r>
    <w:r>
      <w:rPr>
        <w:bCs/>
        <w:sz w:val="18"/>
        <w:szCs w:val="18"/>
      </w:rPr>
      <w:instrText>PAGE</w:instrText>
    </w:r>
    <w:r>
      <w:rPr>
        <w:bCs/>
        <w:sz w:val="18"/>
        <w:szCs w:val="18"/>
      </w:rPr>
      <w:fldChar w:fldCharType="separate"/>
    </w:r>
    <w:r>
      <w:rPr>
        <w:bCs/>
        <w:noProof/>
        <w:sz w:val="18"/>
        <w:szCs w:val="18"/>
      </w:rPr>
      <w:t>1</w:t>
    </w:r>
    <w:r>
      <w:rPr>
        <w:bCs/>
        <w:sz w:val="18"/>
        <w:szCs w:val="18"/>
      </w:rPr>
      <w:fldChar w:fldCharType="end"/>
    </w:r>
    <w:r>
      <w:rPr>
        <w:sz w:val="18"/>
        <w:szCs w:val="18"/>
      </w:rPr>
      <w:t>/</w:t>
    </w:r>
    <w:r>
      <w:rPr>
        <w:bCs/>
        <w:sz w:val="18"/>
        <w:szCs w:val="18"/>
      </w:rPr>
      <w:fldChar w:fldCharType="begin"/>
    </w:r>
    <w:r>
      <w:rPr>
        <w:bCs/>
        <w:sz w:val="18"/>
        <w:szCs w:val="18"/>
      </w:rPr>
      <w:instrText>NUMPAGES</w:instrText>
    </w:r>
    <w:r>
      <w:rPr>
        <w:bCs/>
        <w:sz w:val="18"/>
        <w:szCs w:val="18"/>
      </w:rPr>
      <w:fldChar w:fldCharType="separate"/>
    </w:r>
    <w:r>
      <w:rPr>
        <w:bCs/>
        <w:noProof/>
        <w:sz w:val="18"/>
        <w:szCs w:val="18"/>
      </w:rPr>
      <w:t>11</w:t>
    </w:r>
    <w:r>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720C2"/>
    <w:multiLevelType w:val="singleLevel"/>
    <w:tmpl w:val="B8F403F4"/>
    <w:lvl w:ilvl="0">
      <w:numFmt w:val="bullet"/>
      <w:pStyle w:val="Aufzhlung"/>
      <w:lvlText w:val=""/>
      <w:lvlJc w:val="left"/>
      <w:pPr>
        <w:tabs>
          <w:tab w:val="num" w:pos="360"/>
        </w:tabs>
        <w:ind w:left="360" w:hanging="360"/>
      </w:pPr>
      <w:rPr>
        <w:rFonts w:ascii="Symbol" w:hAnsi="Symbol" w:hint="default"/>
      </w:rPr>
    </w:lvl>
  </w:abstractNum>
  <w:abstractNum w:abstractNumId="1" w15:restartNumberingAfterBreak="0">
    <w:nsid w:val="4E153C69"/>
    <w:multiLevelType w:val="hybridMultilevel"/>
    <w:tmpl w:val="94260048"/>
    <w:lvl w:ilvl="0" w:tplc="04070017">
      <w:start w:val="1"/>
      <w:numFmt w:val="lowerLetter"/>
      <w:lvlText w:val="%1)"/>
      <w:lvlJc w:val="left"/>
      <w:pPr>
        <w:ind w:left="1145" w:hanging="360"/>
      </w:pPr>
    </w:lvl>
    <w:lvl w:ilvl="1" w:tplc="04070019" w:tentative="1">
      <w:start w:val="1"/>
      <w:numFmt w:val="lowerLetter"/>
      <w:lvlText w:val="%2."/>
      <w:lvlJc w:val="left"/>
      <w:pPr>
        <w:ind w:left="1865" w:hanging="360"/>
      </w:pPr>
    </w:lvl>
    <w:lvl w:ilvl="2" w:tplc="0407001B" w:tentative="1">
      <w:start w:val="1"/>
      <w:numFmt w:val="lowerRoman"/>
      <w:lvlText w:val="%3."/>
      <w:lvlJc w:val="right"/>
      <w:pPr>
        <w:ind w:left="2585" w:hanging="180"/>
      </w:pPr>
    </w:lvl>
    <w:lvl w:ilvl="3" w:tplc="0407000F" w:tentative="1">
      <w:start w:val="1"/>
      <w:numFmt w:val="decimal"/>
      <w:lvlText w:val="%4."/>
      <w:lvlJc w:val="left"/>
      <w:pPr>
        <w:ind w:left="3305" w:hanging="360"/>
      </w:pPr>
    </w:lvl>
    <w:lvl w:ilvl="4" w:tplc="04070019" w:tentative="1">
      <w:start w:val="1"/>
      <w:numFmt w:val="lowerLetter"/>
      <w:lvlText w:val="%5."/>
      <w:lvlJc w:val="left"/>
      <w:pPr>
        <w:ind w:left="4025" w:hanging="360"/>
      </w:pPr>
    </w:lvl>
    <w:lvl w:ilvl="5" w:tplc="0407001B" w:tentative="1">
      <w:start w:val="1"/>
      <w:numFmt w:val="lowerRoman"/>
      <w:lvlText w:val="%6."/>
      <w:lvlJc w:val="right"/>
      <w:pPr>
        <w:ind w:left="4745" w:hanging="180"/>
      </w:pPr>
    </w:lvl>
    <w:lvl w:ilvl="6" w:tplc="0407000F" w:tentative="1">
      <w:start w:val="1"/>
      <w:numFmt w:val="decimal"/>
      <w:lvlText w:val="%7."/>
      <w:lvlJc w:val="left"/>
      <w:pPr>
        <w:ind w:left="5465" w:hanging="360"/>
      </w:pPr>
    </w:lvl>
    <w:lvl w:ilvl="7" w:tplc="04070019" w:tentative="1">
      <w:start w:val="1"/>
      <w:numFmt w:val="lowerLetter"/>
      <w:lvlText w:val="%8."/>
      <w:lvlJc w:val="left"/>
      <w:pPr>
        <w:ind w:left="6185" w:hanging="360"/>
      </w:pPr>
    </w:lvl>
    <w:lvl w:ilvl="8" w:tplc="0407001B" w:tentative="1">
      <w:start w:val="1"/>
      <w:numFmt w:val="lowerRoman"/>
      <w:lvlText w:val="%9."/>
      <w:lvlJc w:val="right"/>
      <w:pPr>
        <w:ind w:left="6905" w:hanging="180"/>
      </w:pPr>
    </w:lvl>
  </w:abstractNum>
  <w:abstractNum w:abstractNumId="2" w15:restartNumberingAfterBreak="0">
    <w:nsid w:val="795923AD"/>
    <w:multiLevelType w:val="hybridMultilevel"/>
    <w:tmpl w:val="9D5070D0"/>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NotTrackFormatting/>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7C0FF0-B1C2-4F31-BDA0-7CD8A24DE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0" w:line="240" w:lineRule="auto"/>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Zeileneinzug">
    <w:name w:val="Body Text Indent"/>
    <w:basedOn w:val="Standard"/>
    <w:link w:val="Textkrper-ZeileneinzugZchn"/>
    <w:semiHidden/>
    <w:unhideWhenUsed/>
    <w:pPr>
      <w:ind w:left="709"/>
      <w:jc w:val="both"/>
    </w:pPr>
    <w:rPr>
      <w:rFonts w:eastAsia="Times New Roman" w:cs="Arial"/>
      <w:sz w:val="24"/>
      <w:szCs w:val="24"/>
      <w:lang w:eastAsia="de-DE"/>
    </w:rPr>
  </w:style>
  <w:style w:type="character" w:customStyle="1" w:styleId="Textkrper-ZeileneinzugZchn">
    <w:name w:val="Textkörper-Zeileneinzug Zchn"/>
    <w:basedOn w:val="Absatz-Standardschriftart"/>
    <w:link w:val="Textkrper-Zeileneinzug"/>
    <w:semiHidden/>
    <w:rPr>
      <w:rFonts w:ascii="Arial" w:eastAsia="Times New Roman" w:hAnsi="Arial" w:cs="Arial"/>
      <w:sz w:val="24"/>
      <w:szCs w:val="24"/>
      <w:lang w:eastAsia="de-DE"/>
    </w:rPr>
  </w:style>
  <w:style w:type="paragraph" w:styleId="Zitat">
    <w:name w:val="Quote"/>
    <w:basedOn w:val="Kopfzeile"/>
    <w:link w:val="ZitatZchn"/>
    <w:qFormat/>
    <w:pPr>
      <w:tabs>
        <w:tab w:val="clear" w:pos="4536"/>
        <w:tab w:val="clear" w:pos="9072"/>
      </w:tabs>
      <w:ind w:left="1068"/>
      <w:jc w:val="both"/>
    </w:pPr>
    <w:rPr>
      <w:rFonts w:eastAsia="Times New Roman" w:cs="Arial"/>
      <w:sz w:val="24"/>
      <w:szCs w:val="24"/>
      <w:lang w:eastAsia="de-DE"/>
    </w:rPr>
  </w:style>
  <w:style w:type="character" w:customStyle="1" w:styleId="ZitatZchn">
    <w:name w:val="Zitat Zchn"/>
    <w:basedOn w:val="Absatz-Standardschriftart"/>
    <w:link w:val="Zitat"/>
    <w:rPr>
      <w:rFonts w:ascii="Arial" w:eastAsia="Times New Roman" w:hAnsi="Arial" w:cs="Arial"/>
      <w:sz w:val="24"/>
      <w:szCs w:val="24"/>
      <w:lang w:eastAsia="de-DE"/>
    </w:rPr>
  </w:style>
  <w:style w:type="paragraph" w:customStyle="1" w:styleId="Gliederungspkt">
    <w:name w:val="Gliederungspkt"/>
    <w:basedOn w:val="Standard"/>
    <w:pPr>
      <w:spacing w:after="280"/>
      <w:jc w:val="both"/>
    </w:pPr>
    <w:rPr>
      <w:rFonts w:eastAsia="Times New Roman" w:cs="Arial"/>
      <w:sz w:val="24"/>
      <w:szCs w:val="24"/>
      <w:lang w:eastAsia="de-DE"/>
    </w:rPr>
  </w:style>
  <w:style w:type="paragraph" w:customStyle="1" w:styleId="Aufzhlung">
    <w:name w:val="Aufzählung"/>
    <w:basedOn w:val="Textkrper-Zeileneinzug"/>
    <w:pPr>
      <w:numPr>
        <w:numId w:val="1"/>
      </w:numPr>
      <w:tabs>
        <w:tab w:val="clear" w:pos="360"/>
        <w:tab w:val="left" w:pos="1080"/>
      </w:tabs>
      <w:ind w:left="1080"/>
    </w:pPr>
  </w:style>
  <w:style w:type="character" w:styleId="Platzhaltertext">
    <w:name w:val="Placeholder Text"/>
    <w:basedOn w:val="Absatz-Standardschriftart"/>
    <w:uiPriority w:val="99"/>
    <w:semiHidden/>
    <w:rPr>
      <w:color w:val="808080"/>
    </w:rPr>
  </w:style>
  <w:style w:type="paragraph" w:styleId="Fuzeile">
    <w:name w:val="footer"/>
    <w:basedOn w:val="Standard"/>
    <w:link w:val="FuzeileZchn"/>
    <w:uiPriority w:val="99"/>
    <w:unhideWhenUsed/>
    <w:pPr>
      <w:tabs>
        <w:tab w:val="center" w:pos="4536"/>
        <w:tab w:val="right" w:pos="9072"/>
      </w:tabs>
    </w:pPr>
  </w:style>
  <w:style w:type="character" w:customStyle="1" w:styleId="FuzeileZchn">
    <w:name w:val="Fußzeile Zchn"/>
    <w:basedOn w:val="Absatz-Standardschriftart"/>
    <w:link w:val="Fuzeile"/>
    <w:uiPriority w:val="99"/>
    <w:rPr>
      <w:rFonts w:ascii="Arial" w:hAnsi="Arial"/>
    </w:rPr>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rFonts w:ascii="Arial" w:hAnsi="Arial"/>
    </w:rPr>
  </w:style>
  <w:style w:type="paragraph" w:styleId="Sprechblasentext">
    <w:name w:val="Balloon Text"/>
    <w:basedOn w:val="Standard"/>
    <w:link w:val="SprechblasentextZchn"/>
    <w:uiPriority w:val="99"/>
    <w:semiHidden/>
    <w:unhideWhenUse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styleId="Listenabsatz">
    <w:name w:val="List Paragraph"/>
    <w:basedOn w:val="Standard"/>
    <w:uiPriority w:val="34"/>
    <w:qFormat/>
    <w:pPr>
      <w:ind w:left="720"/>
      <w:contextualSpacing/>
    </w:pPr>
  </w:style>
  <w:style w:type="table" w:styleId="Tabellenraster">
    <w:name w:val="Table Grid"/>
    <w:basedOn w:val="NormaleTabelle"/>
    <w:uiPriority w:val="5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Arial" w:hAnsi="Arial"/>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770219">
      <w:bodyDiv w:val="1"/>
      <w:marLeft w:val="0"/>
      <w:marRight w:val="0"/>
      <w:marTop w:val="0"/>
      <w:marBottom w:val="0"/>
      <w:divBdr>
        <w:top w:val="none" w:sz="0" w:space="0" w:color="auto"/>
        <w:left w:val="none" w:sz="0" w:space="0" w:color="auto"/>
        <w:bottom w:val="none" w:sz="0" w:space="0" w:color="auto"/>
        <w:right w:val="none" w:sz="0" w:space="0" w:color="auto"/>
      </w:divBdr>
    </w:div>
    <w:div w:id="1194002808">
      <w:bodyDiv w:val="1"/>
      <w:marLeft w:val="0"/>
      <w:marRight w:val="0"/>
      <w:marTop w:val="0"/>
      <w:marBottom w:val="0"/>
      <w:divBdr>
        <w:top w:val="none" w:sz="0" w:space="0" w:color="auto"/>
        <w:left w:val="none" w:sz="0" w:space="0" w:color="auto"/>
        <w:bottom w:val="none" w:sz="0" w:space="0" w:color="auto"/>
        <w:right w:val="none" w:sz="0" w:space="0" w:color="auto"/>
      </w:divBdr>
    </w:div>
    <w:div w:id="186832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89E4A0C3E1F4C75AC9415FA58597F2A"/>
        <w:category>
          <w:name w:val="Allgemein"/>
          <w:gallery w:val="placeholder"/>
        </w:category>
        <w:types>
          <w:type w:val="bbPlcHdr"/>
        </w:types>
        <w:behaviors>
          <w:behavior w:val="content"/>
        </w:behaviors>
        <w:guid w:val="{3498F07B-C5D4-4BD7-BB41-773DF8FB9FD0}"/>
      </w:docPartPr>
      <w:docPartBody>
        <w:p>
          <w:pPr>
            <w:pStyle w:val="F89E4A0C3E1F4C75AC9415FA58597F2A"/>
          </w:pPr>
          <w:r>
            <w:rPr>
              <w:rStyle w:val="Platzhaltertext"/>
              <w:sz w:val="24"/>
              <w:szCs w:val="24"/>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A7B9A"/>
    <w:rPr>
      <w:color w:val="808080"/>
    </w:rPr>
  </w:style>
  <w:style w:type="paragraph" w:customStyle="1" w:styleId="31B6B660319C473888ADEC0ABDA87AB3">
    <w:name w:val="31B6B660319C473888ADEC0ABDA87AB3"/>
    <w:rsid w:val="009A7B9A"/>
  </w:style>
  <w:style w:type="paragraph" w:customStyle="1" w:styleId="F89E4A0C3E1F4C75AC9415FA58597F2A">
    <w:name w:val="F89E4A0C3E1F4C75AC9415FA58597F2A"/>
    <w:rsid w:val="009A7B9A"/>
  </w:style>
  <w:style w:type="paragraph" w:customStyle="1" w:styleId="BAB0FE4323FD4B078A949A64C23029E1">
    <w:name w:val="BAB0FE4323FD4B078A949A64C23029E1"/>
    <w:rsid w:val="009A7B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8FC67-F463-476C-B0D5-728012C0A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3204</Words>
  <Characters>20191</Characters>
  <Application>Microsoft Office Word</Application>
  <DocSecurity>0</DocSecurity>
  <Lines>168</Lines>
  <Paragraphs>46</Paragraphs>
  <ScaleCrop>false</ScaleCrop>
  <HeadingPairs>
    <vt:vector size="2" baseType="variant">
      <vt:variant>
        <vt:lpstr>Titel</vt:lpstr>
      </vt:variant>
      <vt:variant>
        <vt:i4>1</vt:i4>
      </vt:variant>
    </vt:vector>
  </HeadingPairs>
  <TitlesOfParts>
    <vt:vector size="1" baseType="lpstr">
      <vt:lpstr/>
    </vt:vector>
  </TitlesOfParts>
  <Company>Senatsverwaltung für Finanzen</Company>
  <LinksUpToDate>false</LinksUpToDate>
  <CharactersWithSpaces>23349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jedinger</dc:creator>
  <cp:lastModifiedBy>Rosenau, Marleen</cp:lastModifiedBy>
  <cp:revision>19</cp:revision>
  <dcterms:created xsi:type="dcterms:W3CDTF">2016-07-27T09:01:00Z</dcterms:created>
  <dcterms:modified xsi:type="dcterms:W3CDTF">2019-12-13T09:58:00Z</dcterms:modified>
</cp:coreProperties>
</file>