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2612" w14:textId="77777777" w:rsidR="008767A3" w:rsidRDefault="000B21E9">
      <w:pPr>
        <w:rPr>
          <w:rFonts w:cs="Arial"/>
          <w:b/>
          <w:sz w:val="27"/>
          <w:szCs w:val="27"/>
          <w:u w:val="single"/>
        </w:rPr>
      </w:pPr>
      <w:r>
        <w:rPr>
          <w:rFonts w:ascii="Berlin Type" w:hAnsi="Berlin Type" w:cs="Arial"/>
          <w:sz w:val="28"/>
          <w:szCs w:val="24"/>
          <w:u w:val="single"/>
        </w:rPr>
        <w:br/>
      </w:r>
    </w:p>
    <w:p w14:paraId="5BDC75A7" w14:textId="77777777" w:rsidR="008767A3" w:rsidRDefault="000B21E9">
      <w:pPr>
        <w:rPr>
          <w:rFonts w:cs="Arial"/>
          <w:b/>
          <w:sz w:val="27"/>
          <w:szCs w:val="27"/>
          <w:u w:val="single"/>
        </w:rPr>
      </w:pPr>
      <w:r>
        <w:rPr>
          <w:rFonts w:cs="Arial"/>
          <w:b/>
          <w:sz w:val="27"/>
          <w:szCs w:val="27"/>
          <w:u w:val="single"/>
        </w:rPr>
        <w:t>Hinweise zur Erstbeteiligung eines IT-Verfahrens beim Hauptpersonalrat Berlin</w:t>
      </w:r>
    </w:p>
    <w:p w14:paraId="339A5DD6" w14:textId="77777777" w:rsidR="008767A3" w:rsidRDefault="008767A3">
      <w:pPr>
        <w:rPr>
          <w:rFonts w:cs="Arial"/>
          <w:b/>
          <w:szCs w:val="24"/>
        </w:rPr>
      </w:pPr>
    </w:p>
    <w:p w14:paraId="440EB03C" w14:textId="77777777" w:rsidR="008767A3" w:rsidRDefault="000B21E9">
      <w:pPr>
        <w:rPr>
          <w:sz w:val="22"/>
        </w:rPr>
      </w:pPr>
      <w:r>
        <w:rPr>
          <w:sz w:val="22"/>
        </w:rPr>
        <w:t xml:space="preserve">Unabhängig von der „Größe“ des IT-Verfahrens, achten wir auf eine hinreichende Konzeptionierung, die aussagekräftig darlegt welche Zugriffsrechte das Programm ermöglicht, ob eine Leistungs- und Verhaltenskontrolle ausgeschlossen werden kann, der gesetzliche Datenschutz eingehalten wird und ob das Verfahren/die Software barrierefrei ist. </w:t>
      </w:r>
      <w:r>
        <w:rPr>
          <w:sz w:val="22"/>
        </w:rPr>
        <w:br/>
        <w:t>Für eine erste Beteiligung beim HPR müssen nicht zwangsläufig alle Beteiligungsunterlagen vollständig vorliegen. Hierfür gibt es die Möglichkeit das anberaumte Verfahren im Probeechtbetrieb laufen zu lassen, zu testen und innerhalb dieses PEB weitere Konzepte nachzureichen. Natürlich alles in Rücksprache mit dem HPR und der HSBV.</w:t>
      </w:r>
    </w:p>
    <w:p w14:paraId="028BD14E" w14:textId="77777777" w:rsidR="008767A3" w:rsidRDefault="008767A3">
      <w:pPr>
        <w:rPr>
          <w:sz w:val="22"/>
        </w:rPr>
      </w:pPr>
    </w:p>
    <w:p w14:paraId="48E95934" w14:textId="77777777" w:rsidR="008767A3" w:rsidRDefault="000B21E9">
      <w:pPr>
        <w:rPr>
          <w:sz w:val="22"/>
        </w:rPr>
      </w:pPr>
      <w:r>
        <w:rPr>
          <w:sz w:val="22"/>
        </w:rPr>
        <w:t xml:space="preserve">Für die Erstbeteiligung und Folgebeteiligungen benötigen wir immer: </w:t>
      </w:r>
    </w:p>
    <w:p w14:paraId="3B0FFEC1" w14:textId="77777777" w:rsidR="008767A3" w:rsidRDefault="000B21E9">
      <w:pPr>
        <w:rPr>
          <w:b/>
          <w:bCs/>
          <w:sz w:val="22"/>
        </w:rPr>
      </w:pPr>
      <w:r>
        <w:rPr>
          <w:b/>
          <w:bCs/>
          <w:color w:val="FF0000"/>
          <w:sz w:val="22"/>
        </w:rPr>
        <w:t>(Zuständigkeit/Erstellung)</w:t>
      </w:r>
      <w:r>
        <w:rPr>
          <w:b/>
          <w:bCs/>
          <w:color w:val="FF0000"/>
          <w:sz w:val="22"/>
        </w:rPr>
        <w:br/>
      </w:r>
    </w:p>
    <w:p w14:paraId="6FACFAF1" w14:textId="77777777" w:rsidR="008767A3" w:rsidRDefault="000B21E9">
      <w:pPr>
        <w:pStyle w:val="Listenabsatz"/>
        <w:numPr>
          <w:ilvl w:val="0"/>
          <w:numId w:val="10"/>
        </w:numPr>
        <w:suppressAutoHyphens w:val="0"/>
        <w:spacing w:line="360" w:lineRule="auto"/>
        <w:ind w:left="714" w:hanging="357"/>
        <w:rPr>
          <w:b/>
          <w:bCs/>
          <w:sz w:val="22"/>
        </w:rPr>
      </w:pPr>
      <w:r>
        <w:rPr>
          <w:bCs/>
          <w:sz w:val="22"/>
        </w:rPr>
        <w:t>Anschreiben mit kurzem Sachverhalt / Sachstand, begriffliche Einordnung der beteiligten Phase (siehe unten), Beteiligungszeitraum sowie eingeräumte Bearbeitungsfrist von mindestens 4 Wochen</w:t>
      </w:r>
    </w:p>
    <w:p w14:paraId="5A23DEAB" w14:textId="77777777" w:rsidR="008767A3" w:rsidRDefault="000B21E9">
      <w:pPr>
        <w:pStyle w:val="Listenabsatz"/>
        <w:numPr>
          <w:ilvl w:val="0"/>
          <w:numId w:val="10"/>
        </w:numPr>
        <w:suppressAutoHyphens w:val="0"/>
        <w:spacing w:line="360" w:lineRule="auto"/>
        <w:ind w:left="714" w:hanging="357"/>
        <w:rPr>
          <w:b/>
          <w:bCs/>
          <w:sz w:val="22"/>
        </w:rPr>
      </w:pPr>
      <w:r>
        <w:rPr>
          <w:sz w:val="22"/>
        </w:rPr>
        <w:t xml:space="preserve">ausgefüllter IT-Beteiligungsbogen </w:t>
      </w:r>
      <w:r>
        <w:rPr>
          <w:color w:val="FF0000"/>
          <w:sz w:val="22"/>
        </w:rPr>
        <w:t>(Dienststelle)</w:t>
      </w:r>
      <w:r>
        <w:rPr>
          <w:sz w:val="22"/>
        </w:rPr>
        <w:t xml:space="preserve"> (</w:t>
      </w:r>
      <w:hyperlink r:id="rId8" w:history="1">
        <w:r>
          <w:rPr>
            <w:rStyle w:val="Hyperlink"/>
            <w:sz w:val="22"/>
          </w:rPr>
          <w:t>https://www.berlin.de/hpr/wissenswertes/beteiligung-in-it-verfahren/</w:t>
        </w:r>
      </w:hyperlink>
      <w:r>
        <w:rPr>
          <w:sz w:val="22"/>
        </w:rPr>
        <w:t>)</w:t>
      </w:r>
    </w:p>
    <w:p w14:paraId="2D222E59" w14:textId="77777777" w:rsidR="008767A3" w:rsidRDefault="000B21E9">
      <w:pPr>
        <w:rPr>
          <w:sz w:val="22"/>
        </w:rPr>
      </w:pPr>
      <w:r>
        <w:rPr>
          <w:b/>
          <w:bCs/>
          <w:sz w:val="22"/>
        </w:rPr>
        <w:br/>
      </w:r>
    </w:p>
    <w:p w14:paraId="1358D936" w14:textId="77777777" w:rsidR="008767A3" w:rsidRDefault="000B21E9">
      <w:pPr>
        <w:rPr>
          <w:sz w:val="22"/>
        </w:rPr>
      </w:pPr>
      <w:r>
        <w:rPr>
          <w:sz w:val="22"/>
        </w:rPr>
        <w:t>Für die Erstbeteiligung benötigen wir mindestens folgende Unterlagen/ Konzepte:</w:t>
      </w:r>
    </w:p>
    <w:p w14:paraId="5291AE07" w14:textId="77777777" w:rsidR="008767A3" w:rsidRDefault="008767A3">
      <w:pPr>
        <w:suppressAutoHyphens w:val="0"/>
        <w:spacing w:line="360" w:lineRule="auto"/>
        <w:rPr>
          <w:b/>
          <w:bCs/>
          <w:sz w:val="22"/>
        </w:rPr>
      </w:pPr>
    </w:p>
    <w:p w14:paraId="39CE3256" w14:textId="77777777" w:rsidR="008767A3" w:rsidRDefault="000B21E9">
      <w:pPr>
        <w:suppressAutoHyphens w:val="0"/>
        <w:rPr>
          <w:b/>
          <w:bCs/>
          <w:sz w:val="22"/>
        </w:rPr>
      </w:pPr>
      <w:r>
        <w:rPr>
          <w:b/>
          <w:bCs/>
          <w:sz w:val="22"/>
        </w:rPr>
        <w:t>Anlagen A – Allgemeine Beschreibung</w:t>
      </w:r>
      <w:r>
        <w:rPr>
          <w:b/>
          <w:bCs/>
          <w:sz w:val="22"/>
        </w:rPr>
        <w:br/>
      </w:r>
    </w:p>
    <w:p w14:paraId="366DE762" w14:textId="77777777" w:rsidR="008767A3" w:rsidRDefault="000B21E9">
      <w:pPr>
        <w:pStyle w:val="Listenabsatz"/>
        <w:numPr>
          <w:ilvl w:val="0"/>
          <w:numId w:val="10"/>
        </w:numPr>
        <w:suppressAutoHyphens w:val="0"/>
        <w:spacing w:line="360" w:lineRule="auto"/>
        <w:ind w:left="714" w:hanging="357"/>
        <w:rPr>
          <w:b/>
          <w:bCs/>
          <w:sz w:val="22"/>
        </w:rPr>
      </w:pPr>
      <w:r>
        <w:rPr>
          <w:sz w:val="22"/>
        </w:rPr>
        <w:t xml:space="preserve">A 1 </w:t>
      </w:r>
      <w:r>
        <w:rPr>
          <w:sz w:val="22"/>
        </w:rPr>
        <w:tab/>
        <w:t>Fach-/Betriebskonzept</w:t>
      </w:r>
      <w:r>
        <w:rPr>
          <w:color w:val="000000"/>
          <w:sz w:val="22"/>
        </w:rPr>
        <w:t xml:space="preserve"> </w:t>
      </w:r>
      <w:r>
        <w:rPr>
          <w:color w:val="FF0000"/>
          <w:sz w:val="22"/>
        </w:rPr>
        <w:t>(Dienststelle und Dienstleister)</w:t>
      </w:r>
    </w:p>
    <w:p w14:paraId="315261C9" w14:textId="77777777" w:rsidR="008767A3" w:rsidRDefault="000B21E9">
      <w:pPr>
        <w:pStyle w:val="Listenabsatz"/>
        <w:numPr>
          <w:ilvl w:val="0"/>
          <w:numId w:val="10"/>
        </w:numPr>
        <w:suppressAutoHyphens w:val="0"/>
        <w:spacing w:line="360" w:lineRule="auto"/>
        <w:ind w:left="714" w:hanging="357"/>
        <w:rPr>
          <w:b/>
          <w:bCs/>
          <w:sz w:val="22"/>
        </w:rPr>
      </w:pPr>
      <w:r>
        <w:rPr>
          <w:sz w:val="22"/>
        </w:rPr>
        <w:t xml:space="preserve">A 7.4 </w:t>
      </w:r>
      <w:r>
        <w:rPr>
          <w:sz w:val="22"/>
        </w:rPr>
        <w:tab/>
        <w:t>Schnittstellenkonzept, sofern Schnittstellen vorhanden sind</w:t>
      </w:r>
      <w:r>
        <w:rPr>
          <w:color w:val="000000"/>
          <w:sz w:val="22"/>
        </w:rPr>
        <w:t xml:space="preserve"> </w:t>
      </w:r>
      <w:r>
        <w:rPr>
          <w:color w:val="FF0000"/>
          <w:sz w:val="22"/>
        </w:rPr>
        <w:t>(Dienststelle)</w:t>
      </w:r>
    </w:p>
    <w:p w14:paraId="407E24ED" w14:textId="77777777" w:rsidR="008767A3" w:rsidRDefault="000B21E9">
      <w:pPr>
        <w:pStyle w:val="Listenabsatz"/>
        <w:numPr>
          <w:ilvl w:val="0"/>
          <w:numId w:val="10"/>
        </w:numPr>
        <w:suppressAutoHyphens w:val="0"/>
        <w:spacing w:line="360" w:lineRule="auto"/>
        <w:ind w:left="714" w:hanging="357"/>
        <w:rPr>
          <w:b/>
          <w:bCs/>
          <w:sz w:val="22"/>
        </w:rPr>
      </w:pPr>
      <w:r>
        <w:rPr>
          <w:sz w:val="22"/>
        </w:rPr>
        <w:t xml:space="preserve">A 9 </w:t>
      </w:r>
      <w:r>
        <w:rPr>
          <w:sz w:val="22"/>
        </w:rPr>
        <w:tab/>
      </w:r>
      <w:r>
        <w:rPr>
          <w:sz w:val="22"/>
        </w:rPr>
        <w:t xml:space="preserve">Präsentation der Software, idealerweise vor der Beteiligung </w:t>
      </w:r>
      <w:r>
        <w:rPr>
          <w:color w:val="FF0000"/>
          <w:sz w:val="22"/>
        </w:rPr>
        <w:t>(Dienststelle)</w:t>
      </w:r>
    </w:p>
    <w:p w14:paraId="425B67D2" w14:textId="77777777" w:rsidR="008767A3" w:rsidRDefault="008767A3">
      <w:pPr>
        <w:suppressAutoHyphens w:val="0"/>
        <w:rPr>
          <w:b/>
          <w:bCs/>
          <w:sz w:val="22"/>
        </w:rPr>
      </w:pPr>
    </w:p>
    <w:p w14:paraId="47AAC751" w14:textId="77777777" w:rsidR="008767A3" w:rsidRDefault="000B21E9">
      <w:pPr>
        <w:suppressAutoHyphens w:val="0"/>
        <w:rPr>
          <w:b/>
          <w:bCs/>
          <w:sz w:val="22"/>
        </w:rPr>
      </w:pPr>
      <w:r>
        <w:rPr>
          <w:b/>
          <w:bCs/>
          <w:sz w:val="22"/>
        </w:rPr>
        <w:t>Anlagen B – Beschreibung der Risikopotenziale und Mitbestimmungstatbestände</w:t>
      </w:r>
      <w:r>
        <w:rPr>
          <w:b/>
          <w:bCs/>
          <w:sz w:val="22"/>
        </w:rPr>
        <w:br/>
      </w:r>
    </w:p>
    <w:p w14:paraId="7DAD5B12" w14:textId="77777777" w:rsidR="008767A3" w:rsidRDefault="000B21E9">
      <w:pPr>
        <w:pStyle w:val="Listenabsatz"/>
        <w:numPr>
          <w:ilvl w:val="0"/>
          <w:numId w:val="10"/>
        </w:numPr>
        <w:suppressAutoHyphens w:val="0"/>
        <w:spacing w:line="360" w:lineRule="auto"/>
        <w:rPr>
          <w:b/>
          <w:bCs/>
          <w:sz w:val="22"/>
        </w:rPr>
      </w:pPr>
      <w:r>
        <w:rPr>
          <w:sz w:val="22"/>
        </w:rPr>
        <w:t xml:space="preserve">B 1 </w:t>
      </w:r>
      <w:r>
        <w:rPr>
          <w:sz w:val="22"/>
        </w:rPr>
        <w:tab/>
        <w:t xml:space="preserve">Beschreibung zur möglichen Leistungs- und Verhaltenskontrolle und wie diese  </w:t>
      </w:r>
    </w:p>
    <w:p w14:paraId="7E8BA9E9" w14:textId="77777777" w:rsidR="008767A3" w:rsidRDefault="000B21E9">
      <w:pPr>
        <w:pStyle w:val="Listenabsatz"/>
        <w:suppressAutoHyphens w:val="0"/>
        <w:spacing w:line="360" w:lineRule="auto"/>
        <w:ind w:firstLine="696"/>
        <w:rPr>
          <w:b/>
          <w:bCs/>
          <w:sz w:val="22"/>
        </w:rPr>
      </w:pPr>
      <w:r>
        <w:rPr>
          <w:sz w:val="22"/>
        </w:rPr>
        <w:t>ausgeschlossen werden kann</w:t>
      </w:r>
      <w:r>
        <w:rPr>
          <w:color w:val="000000"/>
          <w:sz w:val="22"/>
        </w:rPr>
        <w:t xml:space="preserve"> </w:t>
      </w:r>
      <w:r>
        <w:rPr>
          <w:color w:val="FF0000"/>
          <w:sz w:val="22"/>
        </w:rPr>
        <w:t xml:space="preserve">(Dienststelle und </w:t>
      </w:r>
    </w:p>
    <w:p w14:paraId="4F0250E5" w14:textId="77777777" w:rsidR="008767A3" w:rsidRDefault="000B21E9">
      <w:pPr>
        <w:pStyle w:val="Listenabsatz"/>
        <w:suppressAutoHyphens w:val="0"/>
        <w:spacing w:line="360" w:lineRule="auto"/>
        <w:ind w:firstLine="696"/>
        <w:rPr>
          <w:b/>
          <w:bCs/>
          <w:sz w:val="22"/>
        </w:rPr>
      </w:pPr>
      <w:r>
        <w:rPr>
          <w:color w:val="FF0000"/>
          <w:sz w:val="22"/>
        </w:rPr>
        <w:t>Dienstleister)</w:t>
      </w:r>
      <w:r>
        <w:rPr>
          <w:color w:val="FF0000"/>
          <w:sz w:val="22"/>
        </w:rPr>
        <w:br/>
      </w:r>
    </w:p>
    <w:p w14:paraId="26E647C5" w14:textId="77777777" w:rsidR="008767A3" w:rsidRDefault="000B21E9">
      <w:pPr>
        <w:pStyle w:val="Listenabsatz"/>
        <w:numPr>
          <w:ilvl w:val="0"/>
          <w:numId w:val="10"/>
        </w:numPr>
        <w:suppressAutoHyphens w:val="0"/>
        <w:spacing w:line="360" w:lineRule="auto"/>
        <w:rPr>
          <w:b/>
          <w:bCs/>
          <w:sz w:val="22"/>
        </w:rPr>
      </w:pPr>
      <w:r>
        <w:rPr>
          <w:sz w:val="22"/>
        </w:rPr>
        <w:lastRenderedPageBreak/>
        <w:t xml:space="preserve">B 2.2 </w:t>
      </w:r>
      <w:r>
        <w:rPr>
          <w:sz w:val="22"/>
        </w:rPr>
        <w:tab/>
        <w:t>Stellungnahme des örtlichen Datenschutzbeauftragten</w:t>
      </w:r>
      <w:r>
        <w:rPr>
          <w:color w:val="000000"/>
          <w:sz w:val="22"/>
        </w:rPr>
        <w:t xml:space="preserve"> (Unbedingt mit der</w:t>
      </w:r>
    </w:p>
    <w:p w14:paraId="6B5C1D97" w14:textId="77777777" w:rsidR="008767A3" w:rsidRDefault="000B21E9">
      <w:pPr>
        <w:pStyle w:val="Listenabsatz"/>
        <w:suppressAutoHyphens w:val="0"/>
        <w:spacing w:line="360" w:lineRule="auto"/>
        <w:rPr>
          <w:b/>
          <w:bCs/>
          <w:sz w:val="22"/>
        </w:rPr>
      </w:pPr>
      <w:r>
        <w:rPr>
          <w:sz w:val="22"/>
        </w:rPr>
        <w:t xml:space="preserve"> </w:t>
      </w:r>
      <w:r>
        <w:rPr>
          <w:sz w:val="22"/>
        </w:rPr>
        <w:tab/>
      </w:r>
      <w:r>
        <w:rPr>
          <w:color w:val="000000"/>
          <w:sz w:val="22"/>
        </w:rPr>
        <w:t>Erstbeteiligung einreichen) oder</w:t>
      </w:r>
    </w:p>
    <w:p w14:paraId="47E81F91" w14:textId="77777777" w:rsidR="008767A3" w:rsidRDefault="000B21E9">
      <w:pPr>
        <w:pStyle w:val="Listenabsatz"/>
        <w:numPr>
          <w:ilvl w:val="0"/>
          <w:numId w:val="10"/>
        </w:numPr>
        <w:suppressAutoHyphens w:val="0"/>
        <w:spacing w:line="360" w:lineRule="auto"/>
        <w:rPr>
          <w:b/>
          <w:bCs/>
          <w:sz w:val="22"/>
        </w:rPr>
      </w:pPr>
      <w:r>
        <w:rPr>
          <w:sz w:val="22"/>
        </w:rPr>
        <w:t>B 2.3</w:t>
      </w:r>
      <w:r>
        <w:rPr>
          <w:sz w:val="22"/>
        </w:rPr>
        <w:tab/>
      </w:r>
      <w:r>
        <w:rPr>
          <w:sz w:val="22"/>
        </w:rPr>
        <w:t xml:space="preserve">Stellungnahme des Berliner Datenschutzbeauftragten (Anforderungen hierfür mit  </w:t>
      </w:r>
    </w:p>
    <w:p w14:paraId="2F0FE54E" w14:textId="77777777" w:rsidR="008767A3" w:rsidRDefault="000B21E9">
      <w:pPr>
        <w:pStyle w:val="Listenabsatz"/>
        <w:suppressAutoHyphens w:val="0"/>
        <w:spacing w:line="360" w:lineRule="auto"/>
        <w:ind w:firstLine="696"/>
        <w:rPr>
          <w:b/>
          <w:bCs/>
          <w:sz w:val="22"/>
        </w:rPr>
      </w:pPr>
      <w:r>
        <w:rPr>
          <w:sz w:val="22"/>
        </w:rPr>
        <w:t>dem HPR abklären)</w:t>
      </w:r>
    </w:p>
    <w:p w14:paraId="0FDC9CD5" w14:textId="77777777" w:rsidR="008767A3" w:rsidRDefault="000B21E9">
      <w:pPr>
        <w:pStyle w:val="Listenabsatz"/>
        <w:numPr>
          <w:ilvl w:val="0"/>
          <w:numId w:val="10"/>
        </w:numPr>
        <w:suppressAutoHyphens w:val="0"/>
        <w:spacing w:line="360" w:lineRule="auto"/>
        <w:rPr>
          <w:b/>
          <w:bCs/>
          <w:sz w:val="22"/>
        </w:rPr>
      </w:pPr>
      <w:r>
        <w:rPr>
          <w:sz w:val="22"/>
        </w:rPr>
        <w:t xml:space="preserve">B 3.3 </w:t>
      </w:r>
      <w:r>
        <w:rPr>
          <w:sz w:val="22"/>
        </w:rPr>
        <w:tab/>
        <w:t xml:space="preserve">BITV-Gutachten (Hier reicht uns aufgrund der Bearbeitungszeiträume vorerst der  </w:t>
      </w:r>
    </w:p>
    <w:p w14:paraId="1D795366" w14:textId="77777777" w:rsidR="008767A3" w:rsidRDefault="000B21E9">
      <w:pPr>
        <w:pStyle w:val="Listenabsatz"/>
        <w:suppressAutoHyphens w:val="0"/>
        <w:spacing w:line="360" w:lineRule="auto"/>
        <w:ind w:firstLine="696"/>
        <w:rPr>
          <w:color w:val="FF0000"/>
          <w:sz w:val="22"/>
        </w:rPr>
      </w:pPr>
      <w:r>
        <w:rPr>
          <w:sz w:val="22"/>
        </w:rPr>
        <w:t>Nachweis zur Auftragsverga</w:t>
      </w:r>
      <w:r>
        <w:rPr>
          <w:color w:val="000000"/>
          <w:sz w:val="22"/>
        </w:rPr>
        <w:t xml:space="preserve">be; </w:t>
      </w:r>
      <w:r>
        <w:rPr>
          <w:color w:val="FF0000"/>
          <w:sz w:val="22"/>
        </w:rPr>
        <w:t xml:space="preserve">unabhängiger unbeteiligter Anbieter, auf gar </w:t>
      </w:r>
    </w:p>
    <w:p w14:paraId="5281367D" w14:textId="77777777" w:rsidR="008767A3" w:rsidRDefault="000B21E9">
      <w:pPr>
        <w:pStyle w:val="Listenabsatz"/>
        <w:suppressAutoHyphens w:val="0"/>
        <w:spacing w:line="360" w:lineRule="auto"/>
        <w:ind w:firstLine="696"/>
        <w:rPr>
          <w:sz w:val="22"/>
        </w:rPr>
      </w:pPr>
      <w:r>
        <w:rPr>
          <w:color w:val="FF0000"/>
          <w:sz w:val="22"/>
        </w:rPr>
        <w:t>keinen Fall der Dienstleister</w:t>
      </w:r>
      <w:r>
        <w:rPr>
          <w:sz w:val="22"/>
        </w:rPr>
        <w:t>)</w:t>
      </w:r>
    </w:p>
    <w:p w14:paraId="4214295C" w14:textId="77777777" w:rsidR="008767A3" w:rsidRDefault="000B21E9">
      <w:pPr>
        <w:pStyle w:val="Listenabsatz"/>
        <w:numPr>
          <w:ilvl w:val="0"/>
          <w:numId w:val="10"/>
        </w:numPr>
        <w:suppressAutoHyphens w:val="0"/>
        <w:spacing w:line="360" w:lineRule="auto"/>
        <w:rPr>
          <w:b/>
          <w:bCs/>
          <w:sz w:val="22"/>
        </w:rPr>
      </w:pPr>
      <w:r>
        <w:rPr>
          <w:sz w:val="22"/>
        </w:rPr>
        <w:t xml:space="preserve">B 3.4 </w:t>
      </w:r>
      <w:r>
        <w:rPr>
          <w:sz w:val="22"/>
        </w:rPr>
        <w:tab/>
        <w:t xml:space="preserve">Usability- Gutachten (Notwendigkeit muss in Rücksprache mit HPR und HSBV </w:t>
      </w:r>
    </w:p>
    <w:p w14:paraId="1A8380FF" w14:textId="77777777" w:rsidR="008767A3" w:rsidRDefault="000B21E9">
      <w:pPr>
        <w:suppressAutoHyphens w:val="0"/>
        <w:spacing w:line="360" w:lineRule="auto"/>
        <w:ind w:left="720" w:firstLine="696"/>
        <w:rPr>
          <w:b/>
          <w:bCs/>
          <w:sz w:val="22"/>
        </w:rPr>
      </w:pPr>
      <w:r>
        <w:rPr>
          <w:sz w:val="22"/>
        </w:rPr>
        <w:t xml:space="preserve">erfolgen. Hier reicht uns aufgrund der Bearbeitungszeiträume vorerst der  </w:t>
      </w:r>
    </w:p>
    <w:p w14:paraId="41F8708E" w14:textId="77777777" w:rsidR="008767A3" w:rsidRDefault="000B21E9">
      <w:pPr>
        <w:pStyle w:val="Listenabsatz"/>
        <w:suppressAutoHyphens w:val="0"/>
        <w:spacing w:line="360" w:lineRule="auto"/>
        <w:ind w:firstLine="696"/>
        <w:rPr>
          <w:color w:val="FF0000"/>
          <w:sz w:val="22"/>
        </w:rPr>
      </w:pPr>
      <w:r>
        <w:rPr>
          <w:sz w:val="22"/>
        </w:rPr>
        <w:t>Nachweis zur Auftragsverga</w:t>
      </w:r>
      <w:r>
        <w:rPr>
          <w:color w:val="000000"/>
          <w:sz w:val="22"/>
        </w:rPr>
        <w:t xml:space="preserve">be; </w:t>
      </w:r>
      <w:r>
        <w:rPr>
          <w:color w:val="FF0000"/>
          <w:sz w:val="22"/>
        </w:rPr>
        <w:t xml:space="preserve">unabhängiger unbeteiligter Anbieter, auf gar </w:t>
      </w:r>
    </w:p>
    <w:p w14:paraId="7302E115" w14:textId="77777777" w:rsidR="008767A3" w:rsidRDefault="000B21E9">
      <w:pPr>
        <w:pStyle w:val="Listenabsatz"/>
        <w:suppressAutoHyphens w:val="0"/>
        <w:spacing w:line="360" w:lineRule="auto"/>
        <w:ind w:firstLine="696"/>
        <w:rPr>
          <w:sz w:val="22"/>
        </w:rPr>
      </w:pPr>
      <w:r>
        <w:rPr>
          <w:color w:val="FF0000"/>
          <w:sz w:val="22"/>
        </w:rPr>
        <w:t>keinen Fall der Dienstleister</w:t>
      </w:r>
      <w:r>
        <w:rPr>
          <w:sz w:val="22"/>
        </w:rPr>
        <w:t>)</w:t>
      </w:r>
    </w:p>
    <w:p w14:paraId="5081D93D" w14:textId="77777777" w:rsidR="008767A3" w:rsidRDefault="000B21E9">
      <w:pPr>
        <w:pStyle w:val="Listenabsatz"/>
        <w:numPr>
          <w:ilvl w:val="0"/>
          <w:numId w:val="10"/>
        </w:numPr>
        <w:suppressAutoHyphens w:val="0"/>
        <w:spacing w:line="360" w:lineRule="auto"/>
        <w:rPr>
          <w:b/>
          <w:bCs/>
          <w:sz w:val="22"/>
        </w:rPr>
      </w:pPr>
      <w:r>
        <w:rPr>
          <w:sz w:val="22"/>
        </w:rPr>
        <w:t xml:space="preserve">B 4.3 </w:t>
      </w:r>
      <w:r>
        <w:rPr>
          <w:sz w:val="22"/>
        </w:rPr>
        <w:tab/>
        <w:t xml:space="preserve">Sicherheitskonzept </w:t>
      </w:r>
      <w:r>
        <w:rPr>
          <w:color w:val="FF0000"/>
          <w:sz w:val="22"/>
        </w:rPr>
        <w:t>(Dienstleister)</w:t>
      </w:r>
    </w:p>
    <w:p w14:paraId="2077E7AE" w14:textId="77777777" w:rsidR="008767A3" w:rsidRDefault="000B21E9">
      <w:pPr>
        <w:pStyle w:val="Listenabsatz"/>
        <w:numPr>
          <w:ilvl w:val="0"/>
          <w:numId w:val="10"/>
        </w:numPr>
        <w:suppressAutoHyphens w:val="0"/>
        <w:spacing w:line="360" w:lineRule="auto"/>
        <w:rPr>
          <w:b/>
          <w:bCs/>
          <w:sz w:val="22"/>
        </w:rPr>
      </w:pPr>
      <w:r>
        <w:rPr>
          <w:sz w:val="22"/>
        </w:rPr>
        <w:t>B 4.4</w:t>
      </w:r>
      <w:r>
        <w:rPr>
          <w:sz w:val="22"/>
        </w:rPr>
        <w:tab/>
        <w:t xml:space="preserve">Berechtigungs- und Zugriffskonzept </w:t>
      </w:r>
      <w:r>
        <w:rPr>
          <w:color w:val="000000"/>
          <w:sz w:val="22"/>
        </w:rPr>
        <w:t xml:space="preserve">(Daraus sollten sich auch die einzelnen Rollen </w:t>
      </w:r>
    </w:p>
    <w:p w14:paraId="32FFD4FB" w14:textId="77777777" w:rsidR="008767A3" w:rsidRDefault="000B21E9">
      <w:pPr>
        <w:pStyle w:val="Listenabsatz"/>
        <w:suppressAutoHyphens w:val="0"/>
        <w:spacing w:line="360" w:lineRule="auto"/>
        <w:ind w:firstLine="696"/>
        <w:rPr>
          <w:b/>
          <w:bCs/>
          <w:sz w:val="22"/>
        </w:rPr>
      </w:pPr>
      <w:r>
        <w:rPr>
          <w:color w:val="000000"/>
          <w:sz w:val="22"/>
        </w:rPr>
        <w:t xml:space="preserve">ergeben und wer welche Zugriffsrechte hat, Admin usw.; </w:t>
      </w:r>
      <w:r>
        <w:rPr>
          <w:color w:val="FF0000"/>
          <w:sz w:val="22"/>
        </w:rPr>
        <w:t>Dienststelle</w:t>
      </w:r>
      <w:r>
        <w:rPr>
          <w:color w:val="000000"/>
          <w:sz w:val="22"/>
        </w:rPr>
        <w:t>)</w:t>
      </w:r>
    </w:p>
    <w:p w14:paraId="1B9A61B3" w14:textId="77777777" w:rsidR="008767A3" w:rsidRDefault="000B21E9">
      <w:pPr>
        <w:pStyle w:val="Listenabsatz"/>
        <w:numPr>
          <w:ilvl w:val="0"/>
          <w:numId w:val="10"/>
        </w:numPr>
        <w:suppressAutoHyphens w:val="0"/>
        <w:spacing w:line="360" w:lineRule="auto"/>
        <w:rPr>
          <w:b/>
          <w:bCs/>
          <w:sz w:val="22"/>
        </w:rPr>
      </w:pPr>
      <w:r>
        <w:rPr>
          <w:sz w:val="22"/>
        </w:rPr>
        <w:t>B 5.1</w:t>
      </w:r>
      <w:r>
        <w:rPr>
          <w:sz w:val="22"/>
        </w:rPr>
        <w:tab/>
        <w:t>Schulungskonzept</w:t>
      </w:r>
      <w:r>
        <w:rPr>
          <w:color w:val="000000"/>
          <w:sz w:val="22"/>
        </w:rPr>
        <w:t xml:space="preserve"> (Wie, wo und in welchem Umfang soll geschult werden und   </w:t>
      </w:r>
    </w:p>
    <w:p w14:paraId="0CA2D291" w14:textId="77777777" w:rsidR="008767A3" w:rsidRDefault="000B21E9">
      <w:pPr>
        <w:pStyle w:val="Listenabsatz"/>
        <w:suppressAutoHyphens w:val="0"/>
        <w:spacing w:line="360" w:lineRule="auto"/>
        <w:rPr>
          <w:b/>
          <w:bCs/>
          <w:sz w:val="22"/>
        </w:rPr>
      </w:pPr>
      <w:r>
        <w:rPr>
          <w:sz w:val="22"/>
        </w:rPr>
        <w:t xml:space="preserve">            </w:t>
      </w:r>
      <w:r>
        <w:rPr>
          <w:color w:val="000000"/>
          <w:sz w:val="22"/>
        </w:rPr>
        <w:t xml:space="preserve">durch wen? Unbedingt mit der Erstbeteiligung vorlegen.) </w:t>
      </w:r>
      <w:r>
        <w:rPr>
          <w:color w:val="FF0000"/>
          <w:sz w:val="22"/>
        </w:rPr>
        <w:t>(Dienststelle)</w:t>
      </w:r>
    </w:p>
    <w:p w14:paraId="5D74C38A" w14:textId="77777777" w:rsidR="008767A3" w:rsidRDefault="000B21E9">
      <w:pPr>
        <w:pStyle w:val="Listenabsatz"/>
        <w:numPr>
          <w:ilvl w:val="0"/>
          <w:numId w:val="10"/>
        </w:numPr>
        <w:suppressAutoHyphens w:val="0"/>
        <w:spacing w:line="360" w:lineRule="auto"/>
        <w:rPr>
          <w:bCs/>
          <w:sz w:val="22"/>
        </w:rPr>
      </w:pPr>
      <w:r>
        <w:rPr>
          <w:bCs/>
          <w:sz w:val="22"/>
        </w:rPr>
        <w:t>C</w:t>
      </w:r>
      <w:r>
        <w:rPr>
          <w:bCs/>
          <w:sz w:val="22"/>
        </w:rPr>
        <w:tab/>
        <w:t xml:space="preserve">Datenschutzkonzept </w:t>
      </w:r>
      <w:r>
        <w:rPr>
          <w:bCs/>
          <w:color w:val="FF0000"/>
          <w:sz w:val="22"/>
        </w:rPr>
        <w:t>(Dienststelle und Dienstleister)</w:t>
      </w:r>
    </w:p>
    <w:p w14:paraId="637E6E2E" w14:textId="77777777" w:rsidR="008767A3" w:rsidRDefault="000B21E9">
      <w:pPr>
        <w:pStyle w:val="Listenabsatz"/>
        <w:numPr>
          <w:ilvl w:val="0"/>
          <w:numId w:val="10"/>
        </w:numPr>
        <w:suppressAutoHyphens w:val="0"/>
        <w:spacing w:line="360" w:lineRule="auto"/>
        <w:rPr>
          <w:b/>
          <w:bCs/>
          <w:sz w:val="22"/>
        </w:rPr>
      </w:pPr>
      <w:r>
        <w:rPr>
          <w:sz w:val="22"/>
        </w:rPr>
        <w:t>C</w:t>
      </w:r>
      <w:r>
        <w:rPr>
          <w:sz w:val="22"/>
        </w:rPr>
        <w:tab/>
        <w:t>Speicher- und Löschkonzept</w:t>
      </w:r>
      <w:r>
        <w:rPr>
          <w:color w:val="000000"/>
          <w:sz w:val="22"/>
        </w:rPr>
        <w:t xml:space="preserve"> </w:t>
      </w:r>
      <w:r>
        <w:rPr>
          <w:color w:val="FF0000"/>
          <w:sz w:val="22"/>
        </w:rPr>
        <w:t xml:space="preserve">(Dienstleister) </w:t>
      </w:r>
      <w:r>
        <w:rPr>
          <w:sz w:val="22"/>
        </w:rPr>
        <w:t xml:space="preserve">(oft in Verbindung mit dem </w:t>
      </w:r>
    </w:p>
    <w:p w14:paraId="0455CDE1" w14:textId="77777777" w:rsidR="008767A3" w:rsidRDefault="000B21E9">
      <w:pPr>
        <w:pStyle w:val="Listenabsatz"/>
        <w:suppressAutoHyphens w:val="0"/>
        <w:spacing w:line="360" w:lineRule="auto"/>
        <w:ind w:firstLine="696"/>
        <w:rPr>
          <w:b/>
          <w:bCs/>
          <w:sz w:val="22"/>
        </w:rPr>
      </w:pPr>
      <w:r>
        <w:rPr>
          <w:sz w:val="22"/>
        </w:rPr>
        <w:t>Sicherheitskonzept)</w:t>
      </w:r>
    </w:p>
    <w:p w14:paraId="6AC7EB2E" w14:textId="77777777" w:rsidR="008767A3" w:rsidRDefault="000B21E9">
      <w:pPr>
        <w:pStyle w:val="Listenabsatz"/>
        <w:numPr>
          <w:ilvl w:val="0"/>
          <w:numId w:val="10"/>
        </w:numPr>
        <w:suppressAutoHyphens w:val="0"/>
        <w:spacing w:line="360" w:lineRule="auto"/>
        <w:rPr>
          <w:b/>
          <w:bCs/>
          <w:sz w:val="22"/>
        </w:rPr>
      </w:pPr>
      <w:r>
        <w:rPr>
          <w:sz w:val="22"/>
        </w:rPr>
        <w:t>C</w:t>
      </w:r>
      <w:r>
        <w:rPr>
          <w:sz w:val="22"/>
        </w:rPr>
        <w:tab/>
        <w:t>AVV (Auftragsdatenverarbeitungsvertrag)</w:t>
      </w:r>
      <w:r>
        <w:rPr>
          <w:color w:val="000000"/>
          <w:sz w:val="22"/>
        </w:rPr>
        <w:t xml:space="preserve"> </w:t>
      </w:r>
      <w:r>
        <w:rPr>
          <w:color w:val="FF0000"/>
          <w:sz w:val="22"/>
        </w:rPr>
        <w:t>(Dienststelle und Dienstleister)</w:t>
      </w:r>
    </w:p>
    <w:p w14:paraId="129637A1" w14:textId="77777777" w:rsidR="008767A3" w:rsidRDefault="000B21E9">
      <w:pPr>
        <w:pStyle w:val="Listenabsatz"/>
        <w:numPr>
          <w:ilvl w:val="0"/>
          <w:numId w:val="10"/>
        </w:numPr>
        <w:suppressAutoHyphens w:val="0"/>
        <w:spacing w:line="360" w:lineRule="auto"/>
        <w:rPr>
          <w:b/>
          <w:bCs/>
          <w:sz w:val="22"/>
        </w:rPr>
      </w:pPr>
      <w:r>
        <w:rPr>
          <w:sz w:val="22"/>
        </w:rPr>
        <w:t>C</w:t>
      </w:r>
      <w:r>
        <w:rPr>
          <w:sz w:val="22"/>
        </w:rPr>
        <w:tab/>
        <w:t>Zeit- und Maßnahmenplan</w:t>
      </w:r>
      <w:r>
        <w:rPr>
          <w:color w:val="000000"/>
          <w:sz w:val="22"/>
        </w:rPr>
        <w:t xml:space="preserve"> (</w:t>
      </w:r>
      <w:r>
        <w:rPr>
          <w:color w:val="FF0000"/>
          <w:sz w:val="22"/>
        </w:rPr>
        <w:t>Dienststelle</w:t>
      </w:r>
      <w:r>
        <w:rPr>
          <w:color w:val="000000"/>
          <w:sz w:val="22"/>
        </w:rPr>
        <w:t xml:space="preserve">; Alle noch einzureichenden Konzepte und </w:t>
      </w:r>
    </w:p>
    <w:p w14:paraId="27E0CEF7" w14:textId="77777777" w:rsidR="008767A3" w:rsidRDefault="000B21E9">
      <w:pPr>
        <w:pStyle w:val="Listenabsatz"/>
        <w:suppressAutoHyphens w:val="0"/>
        <w:spacing w:line="360" w:lineRule="auto"/>
        <w:ind w:firstLine="696"/>
        <w:rPr>
          <w:color w:val="000000"/>
          <w:sz w:val="22"/>
        </w:rPr>
      </w:pPr>
      <w:r>
        <w:rPr>
          <w:color w:val="000000"/>
          <w:sz w:val="22"/>
        </w:rPr>
        <w:t>Gutachten und wann mit diesen zu rechnen ist. Wenn eines der oben aufgeführten</w:t>
      </w:r>
    </w:p>
    <w:p w14:paraId="7670AB66" w14:textId="77777777" w:rsidR="008767A3" w:rsidRDefault="000B21E9">
      <w:pPr>
        <w:pStyle w:val="Listenabsatz"/>
        <w:suppressAutoHyphens w:val="0"/>
        <w:spacing w:line="360" w:lineRule="auto"/>
        <w:ind w:firstLine="696"/>
        <w:rPr>
          <w:color w:val="000000"/>
          <w:sz w:val="22"/>
        </w:rPr>
      </w:pPr>
      <w:r>
        <w:rPr>
          <w:color w:val="000000"/>
          <w:sz w:val="22"/>
        </w:rPr>
        <w:t xml:space="preserve">Konzepte zum Tag der Beteiligung noch nicht fertiggestellt ist, kann dieses </w:t>
      </w:r>
    </w:p>
    <w:p w14:paraId="5B6C67CE" w14:textId="77777777" w:rsidR="008767A3" w:rsidRDefault="000B21E9">
      <w:pPr>
        <w:pStyle w:val="Listenabsatz"/>
        <w:suppressAutoHyphens w:val="0"/>
        <w:spacing w:line="360" w:lineRule="auto"/>
        <w:ind w:firstLine="696"/>
        <w:rPr>
          <w:color w:val="000000"/>
          <w:sz w:val="22"/>
        </w:rPr>
      </w:pPr>
      <w:r>
        <w:rPr>
          <w:color w:val="000000"/>
          <w:sz w:val="22"/>
        </w:rPr>
        <w:t xml:space="preserve">nachgereicht werden. Sie müssen sich aber aus dem Zeit- und Maßnahmenplanen </w:t>
      </w:r>
    </w:p>
    <w:p w14:paraId="68D73E7F" w14:textId="77777777" w:rsidR="008767A3" w:rsidRDefault="000B21E9">
      <w:pPr>
        <w:pStyle w:val="Listenabsatz"/>
        <w:suppressAutoHyphens w:val="0"/>
        <w:spacing w:line="360" w:lineRule="auto"/>
        <w:ind w:firstLine="696"/>
        <w:rPr>
          <w:color w:val="000000"/>
          <w:sz w:val="22"/>
        </w:rPr>
      </w:pPr>
      <w:r>
        <w:rPr>
          <w:color w:val="000000"/>
          <w:sz w:val="22"/>
        </w:rPr>
        <w:t xml:space="preserve">widerspiegeln.) </w:t>
      </w:r>
    </w:p>
    <w:p w14:paraId="24858739" w14:textId="77777777" w:rsidR="008767A3" w:rsidRDefault="008767A3">
      <w:pPr>
        <w:rPr>
          <w:color w:val="000000"/>
          <w:sz w:val="22"/>
        </w:rPr>
      </w:pPr>
    </w:p>
    <w:p w14:paraId="31A15D91" w14:textId="77777777" w:rsidR="008767A3" w:rsidRDefault="008767A3">
      <w:pPr>
        <w:rPr>
          <w:color w:val="000000"/>
          <w:sz w:val="22"/>
        </w:rPr>
      </w:pPr>
    </w:p>
    <w:p w14:paraId="168F3E93" w14:textId="77777777" w:rsidR="008767A3" w:rsidRDefault="008767A3">
      <w:pPr>
        <w:rPr>
          <w:color w:val="000000"/>
          <w:sz w:val="22"/>
        </w:rPr>
      </w:pPr>
    </w:p>
    <w:p w14:paraId="1060380A" w14:textId="77777777" w:rsidR="008767A3" w:rsidRDefault="008767A3">
      <w:pPr>
        <w:rPr>
          <w:color w:val="000000"/>
          <w:sz w:val="22"/>
        </w:rPr>
      </w:pPr>
    </w:p>
    <w:p w14:paraId="565298AB" w14:textId="77777777" w:rsidR="008767A3" w:rsidRDefault="008767A3">
      <w:pPr>
        <w:rPr>
          <w:color w:val="000000"/>
          <w:sz w:val="22"/>
        </w:rPr>
      </w:pPr>
    </w:p>
    <w:p w14:paraId="39B7CB70" w14:textId="77777777" w:rsidR="008767A3" w:rsidRDefault="008767A3">
      <w:pPr>
        <w:rPr>
          <w:color w:val="000000"/>
          <w:sz w:val="22"/>
        </w:rPr>
      </w:pPr>
    </w:p>
    <w:p w14:paraId="5B045011" w14:textId="77777777" w:rsidR="008767A3" w:rsidRDefault="008767A3">
      <w:pPr>
        <w:rPr>
          <w:color w:val="000000"/>
          <w:sz w:val="22"/>
        </w:rPr>
      </w:pPr>
    </w:p>
    <w:p w14:paraId="4F8087D9" w14:textId="77777777" w:rsidR="008767A3" w:rsidRDefault="008767A3">
      <w:pPr>
        <w:rPr>
          <w:color w:val="000000"/>
          <w:sz w:val="22"/>
        </w:rPr>
      </w:pPr>
    </w:p>
    <w:p w14:paraId="10E86A59" w14:textId="77777777" w:rsidR="008767A3" w:rsidRDefault="008767A3">
      <w:pPr>
        <w:rPr>
          <w:color w:val="000000"/>
          <w:sz w:val="22"/>
        </w:rPr>
      </w:pPr>
    </w:p>
    <w:p w14:paraId="3F449BFE" w14:textId="77777777" w:rsidR="008767A3" w:rsidRDefault="000B21E9">
      <w:pPr>
        <w:rPr>
          <w:b/>
          <w:u w:val="single"/>
        </w:rPr>
      </w:pPr>
      <w:r>
        <w:rPr>
          <w:b/>
          <w:u w:val="single"/>
        </w:rPr>
        <w:lastRenderedPageBreak/>
        <w:t>Hinweise zum IT-Beteiligungsbogen</w:t>
      </w:r>
    </w:p>
    <w:p w14:paraId="462139F0" w14:textId="77777777" w:rsidR="008767A3" w:rsidRDefault="008767A3">
      <w:pPr>
        <w:rPr>
          <w:b/>
          <w:sz w:val="22"/>
          <w:u w:val="single"/>
        </w:rPr>
      </w:pPr>
    </w:p>
    <w:p w14:paraId="03B87DCA" w14:textId="77777777" w:rsidR="008767A3" w:rsidRDefault="000B21E9">
      <w:pPr>
        <w:rPr>
          <w:b/>
          <w:sz w:val="22"/>
        </w:rPr>
      </w:pPr>
      <w:r>
        <w:rPr>
          <w:b/>
          <w:sz w:val="22"/>
        </w:rPr>
        <w:t xml:space="preserve">A Allgemeine Beschreibung: </w:t>
      </w:r>
    </w:p>
    <w:p w14:paraId="57BE5A71" w14:textId="77777777" w:rsidR="008767A3" w:rsidRDefault="008767A3">
      <w:pPr>
        <w:rPr>
          <w:b/>
          <w:sz w:val="22"/>
        </w:rPr>
      </w:pPr>
    </w:p>
    <w:p w14:paraId="3CA07366" w14:textId="77777777" w:rsidR="008767A3" w:rsidRDefault="000B21E9">
      <w:pPr>
        <w:rPr>
          <w:b/>
          <w:sz w:val="22"/>
        </w:rPr>
      </w:pPr>
      <w:r>
        <w:rPr>
          <w:b/>
          <w:sz w:val="22"/>
        </w:rPr>
        <w:t>2. Vorhaben / Schritt / Phase der Einführung / Umsetzung</w:t>
      </w:r>
    </w:p>
    <w:p w14:paraId="7277DB6E" w14:textId="77777777" w:rsidR="008767A3" w:rsidRDefault="008767A3">
      <w:pPr>
        <w:rPr>
          <w:b/>
          <w:sz w:val="22"/>
        </w:rPr>
      </w:pPr>
    </w:p>
    <w:p w14:paraId="7B2A00D2" w14:textId="77777777" w:rsidR="008767A3" w:rsidRDefault="000B21E9">
      <w:pPr>
        <w:rPr>
          <w:b/>
          <w:sz w:val="22"/>
        </w:rPr>
      </w:pPr>
      <w:r>
        <w:rPr>
          <w:noProof/>
          <w:lang w:eastAsia="de-DE"/>
        </w:rPr>
        <w:drawing>
          <wp:inline distT="0" distB="0" distL="0" distR="0" wp14:anchorId="3518F6C5" wp14:editId="19BFBB63">
            <wp:extent cx="4495800" cy="82476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5842" cy="832115"/>
                    </a:xfrm>
                    <a:prstGeom prst="rect">
                      <a:avLst/>
                    </a:prstGeom>
                  </pic:spPr>
                </pic:pic>
              </a:graphicData>
            </a:graphic>
          </wp:inline>
        </w:drawing>
      </w:r>
    </w:p>
    <w:p w14:paraId="156E6DDB" w14:textId="77777777" w:rsidR="008767A3" w:rsidRDefault="008767A3">
      <w:pPr>
        <w:rPr>
          <w:b/>
          <w:sz w:val="22"/>
        </w:rPr>
      </w:pPr>
    </w:p>
    <w:p w14:paraId="48791DE2" w14:textId="77777777" w:rsidR="008767A3" w:rsidRDefault="000B21E9">
      <w:pPr>
        <w:rPr>
          <w:sz w:val="22"/>
        </w:rPr>
      </w:pPr>
      <w:r>
        <w:rPr>
          <w:sz w:val="22"/>
        </w:rPr>
        <w:t xml:space="preserve">Dieses Feld nur ankreuzen, wenn Ihr Verfahren beim IKT-Lenkungsrat zur Genehmigung eingereicht und beschlossen wurde. </w:t>
      </w:r>
    </w:p>
    <w:p w14:paraId="697C5133" w14:textId="77777777" w:rsidR="008767A3" w:rsidRDefault="008767A3">
      <w:pPr>
        <w:rPr>
          <w:sz w:val="22"/>
        </w:rPr>
      </w:pPr>
    </w:p>
    <w:p w14:paraId="6143F328" w14:textId="77777777" w:rsidR="008767A3" w:rsidRDefault="008767A3">
      <w:pPr>
        <w:rPr>
          <w:b/>
          <w:sz w:val="22"/>
        </w:rPr>
      </w:pPr>
    </w:p>
    <w:p w14:paraId="06D43960" w14:textId="77777777" w:rsidR="008767A3" w:rsidRDefault="000B21E9">
      <w:pPr>
        <w:rPr>
          <w:b/>
          <w:sz w:val="22"/>
        </w:rPr>
      </w:pPr>
      <w:r>
        <w:rPr>
          <w:b/>
          <w:sz w:val="22"/>
        </w:rPr>
        <w:t>6. Nutzungsumfang, Anlage A 6.1 Arbeitsanweisung</w:t>
      </w:r>
    </w:p>
    <w:p w14:paraId="16A9C44F" w14:textId="77777777" w:rsidR="008767A3" w:rsidRDefault="008767A3">
      <w:pPr>
        <w:rPr>
          <w:b/>
          <w:sz w:val="22"/>
        </w:rPr>
      </w:pPr>
    </w:p>
    <w:p w14:paraId="09DCD987" w14:textId="77777777" w:rsidR="008767A3" w:rsidRDefault="000B21E9">
      <w:pPr>
        <w:rPr>
          <w:sz w:val="22"/>
        </w:rPr>
      </w:pPr>
      <w:r>
        <w:rPr>
          <w:sz w:val="22"/>
        </w:rPr>
        <w:t>Um Missverständnisse vorzubeugen: an dieser Stelle benötigen wir die Information, auf welcher Arbeits- oder Dienstanweisung Ihrer Dienststelle die Einführung des Programms beruht (rechtliche Grundbasis). Gibt es hierfür eine Arbeitsanweisung Ihrer Führungsebene (bspw. Abteilungsleitung) oder einen Senatsbeschluss oder eine gesetzliche Grundlage?</w:t>
      </w:r>
    </w:p>
    <w:p w14:paraId="7891C6D0" w14:textId="77777777" w:rsidR="008767A3" w:rsidRDefault="008767A3">
      <w:pPr>
        <w:rPr>
          <w:sz w:val="22"/>
        </w:rPr>
      </w:pPr>
    </w:p>
    <w:p w14:paraId="0B85114D" w14:textId="77777777" w:rsidR="008767A3" w:rsidRDefault="000B21E9">
      <w:pPr>
        <w:rPr>
          <w:rStyle w:val="Hyperlink"/>
          <w:sz w:val="22"/>
        </w:rPr>
      </w:pPr>
      <w:r>
        <w:rPr>
          <w:color w:val="000000"/>
          <w:sz w:val="22"/>
        </w:rPr>
        <w:t xml:space="preserve">Es gibt </w:t>
      </w:r>
      <w:r>
        <w:rPr>
          <w:color w:val="000000"/>
          <w:sz w:val="22"/>
          <w:u w:val="single"/>
        </w:rPr>
        <w:t>keine</w:t>
      </w:r>
      <w:r>
        <w:rPr>
          <w:color w:val="000000"/>
          <w:sz w:val="22"/>
        </w:rPr>
        <w:t xml:space="preserve"> Mindestanforderungen an Größe/Umfang der Konzepte. Wenn es ein kleines und übersichtliches Verfahren ist, können die Konzepte dementsprechend auch ausgestaltet sein. Wichtig ist nur, dass diese aussagekräftig sind. </w:t>
      </w:r>
      <w:r>
        <w:rPr>
          <w:sz w:val="22"/>
        </w:rPr>
        <w:t xml:space="preserve">Ergänzend hierzu noch ein Link für Konzept-Mustervorlagen: </w:t>
      </w:r>
      <w:hyperlink r:id="rId10" w:history="1">
        <w:r>
          <w:rPr>
            <w:rStyle w:val="Hyperlink"/>
            <w:sz w:val="22"/>
          </w:rPr>
          <w:t>Fachverfahren - b-intern</w:t>
        </w:r>
      </w:hyperlink>
    </w:p>
    <w:p w14:paraId="0AF574A4" w14:textId="77777777" w:rsidR="008767A3" w:rsidRDefault="008767A3">
      <w:pPr>
        <w:rPr>
          <w:rStyle w:val="Hyperlink"/>
          <w:b/>
          <w:color w:val="auto"/>
          <w:sz w:val="22"/>
          <w:u w:val="none"/>
        </w:rPr>
      </w:pPr>
    </w:p>
    <w:p w14:paraId="05887DDD" w14:textId="77777777" w:rsidR="008767A3" w:rsidRDefault="008767A3">
      <w:pPr>
        <w:rPr>
          <w:rStyle w:val="Hyperlink"/>
          <w:b/>
          <w:color w:val="auto"/>
          <w:sz w:val="22"/>
          <w:u w:val="none"/>
        </w:rPr>
      </w:pPr>
    </w:p>
    <w:p w14:paraId="6051494C" w14:textId="77777777" w:rsidR="008767A3" w:rsidRDefault="000B21E9">
      <w:pPr>
        <w:rPr>
          <w:rStyle w:val="Hyperlink"/>
          <w:b/>
          <w:color w:val="auto"/>
          <w:sz w:val="22"/>
          <w:u w:val="none"/>
        </w:rPr>
      </w:pPr>
      <w:r>
        <w:rPr>
          <w:rStyle w:val="Hyperlink"/>
          <w:b/>
          <w:color w:val="auto"/>
          <w:sz w:val="22"/>
          <w:u w:val="none"/>
        </w:rPr>
        <w:t>C Datenschutzkonzept</w:t>
      </w:r>
    </w:p>
    <w:p w14:paraId="2975C36D" w14:textId="77777777" w:rsidR="008767A3" w:rsidRDefault="008767A3">
      <w:pPr>
        <w:rPr>
          <w:rStyle w:val="Hyperlink"/>
          <w:b/>
          <w:color w:val="auto"/>
          <w:sz w:val="22"/>
          <w:u w:val="none"/>
        </w:rPr>
      </w:pPr>
    </w:p>
    <w:p w14:paraId="25D6E5C5" w14:textId="77777777" w:rsidR="008767A3" w:rsidRDefault="000B21E9">
      <w:pPr>
        <w:rPr>
          <w:rStyle w:val="Hyperlink"/>
          <w:b/>
          <w:color w:val="auto"/>
          <w:sz w:val="22"/>
          <w:u w:val="none"/>
        </w:rPr>
      </w:pPr>
      <w:r>
        <w:rPr>
          <w:rStyle w:val="Hyperlink"/>
          <w:b/>
          <w:color w:val="auto"/>
          <w:sz w:val="22"/>
          <w:u w:val="none"/>
        </w:rPr>
        <w:t>Muster zum Datenschutzkonzept</w:t>
      </w:r>
    </w:p>
    <w:p w14:paraId="403980BF" w14:textId="77777777" w:rsidR="008767A3" w:rsidRDefault="000B21E9">
      <w:pPr>
        <w:rPr>
          <w:rStyle w:val="Hyperlink"/>
          <w:color w:val="auto"/>
          <w:sz w:val="22"/>
          <w:u w:val="none"/>
        </w:rPr>
      </w:pPr>
      <w:r>
        <w:rPr>
          <w:rStyle w:val="Hyperlink"/>
          <w:color w:val="auto"/>
          <w:sz w:val="22"/>
          <w:u w:val="none"/>
        </w:rPr>
        <w:t xml:space="preserve">Die Berliner Beauftragte für Datenschutz und Informationsfreiheit hat für die Einführung neuer IT-Verfahren und Digitalisierungsprojekte einen Leitfaden entwickelt, den wir als Hauptpersonalrat als Standard unterstützen und Sie bitten diesen umzusetzen. </w:t>
      </w:r>
    </w:p>
    <w:p w14:paraId="790CF27B" w14:textId="77777777" w:rsidR="008767A3" w:rsidRDefault="008767A3">
      <w:pPr>
        <w:rPr>
          <w:rStyle w:val="Hyperlink"/>
          <w:color w:val="auto"/>
          <w:sz w:val="22"/>
          <w:u w:val="none"/>
        </w:rPr>
      </w:pPr>
    </w:p>
    <w:p w14:paraId="00BF4363" w14:textId="77777777" w:rsidR="008767A3" w:rsidRDefault="000B21E9">
      <w:pPr>
        <w:rPr>
          <w:rStyle w:val="Hyperlink"/>
          <w:color w:val="auto"/>
          <w:sz w:val="22"/>
          <w:u w:val="none"/>
        </w:rPr>
      </w:pPr>
      <w:r>
        <w:rPr>
          <w:rStyle w:val="Hyperlink"/>
          <w:color w:val="auto"/>
          <w:sz w:val="22"/>
          <w:u w:val="none"/>
        </w:rPr>
        <w:t xml:space="preserve">Alle Informationen hierzu finden Sie auf: </w:t>
      </w:r>
    </w:p>
    <w:p w14:paraId="4488D341" w14:textId="77777777" w:rsidR="008767A3" w:rsidRDefault="000B21E9">
      <w:pPr>
        <w:rPr>
          <w:rStyle w:val="Hyperlink"/>
          <w:rFonts w:eastAsia="Times New Roman"/>
        </w:rPr>
      </w:pPr>
      <w:hyperlink r:id="rId11" w:history="1">
        <w:r>
          <w:rPr>
            <w:rStyle w:val="Hyperlink"/>
            <w:rFonts w:eastAsia="Times New Roman"/>
          </w:rPr>
          <w:t>https://www.datenschutz-berlin.de/themen/behoerden/standardprozess/</w:t>
        </w:r>
      </w:hyperlink>
    </w:p>
    <w:p w14:paraId="501D377C" w14:textId="77777777" w:rsidR="008767A3" w:rsidRDefault="008767A3">
      <w:pPr>
        <w:rPr>
          <w:sz w:val="22"/>
        </w:rPr>
      </w:pPr>
    </w:p>
    <w:p w14:paraId="0BE6714F" w14:textId="77777777" w:rsidR="008767A3" w:rsidRDefault="008767A3">
      <w:pPr>
        <w:rPr>
          <w:color w:val="000000"/>
          <w:sz w:val="22"/>
        </w:rPr>
      </w:pPr>
    </w:p>
    <w:p w14:paraId="22958E56" w14:textId="77777777" w:rsidR="008767A3" w:rsidRDefault="008767A3">
      <w:pPr>
        <w:rPr>
          <w:b/>
          <w:bCs/>
        </w:rPr>
      </w:pPr>
    </w:p>
    <w:p w14:paraId="5E823A47" w14:textId="77777777" w:rsidR="008767A3" w:rsidRDefault="008767A3">
      <w:pPr>
        <w:rPr>
          <w:b/>
          <w:bCs/>
        </w:rPr>
      </w:pPr>
    </w:p>
    <w:p w14:paraId="4502A91C" w14:textId="77777777" w:rsidR="008767A3" w:rsidRDefault="008767A3">
      <w:pPr>
        <w:rPr>
          <w:b/>
          <w:bCs/>
        </w:rPr>
      </w:pPr>
    </w:p>
    <w:p w14:paraId="121E5F8E" w14:textId="77777777" w:rsidR="008767A3" w:rsidRDefault="008767A3">
      <w:pPr>
        <w:rPr>
          <w:b/>
          <w:bCs/>
        </w:rPr>
      </w:pPr>
    </w:p>
    <w:p w14:paraId="32448FE5" w14:textId="77777777" w:rsidR="008767A3" w:rsidRDefault="008767A3">
      <w:pPr>
        <w:rPr>
          <w:b/>
          <w:bCs/>
        </w:rPr>
      </w:pPr>
    </w:p>
    <w:p w14:paraId="0B511EB5" w14:textId="77777777" w:rsidR="008767A3" w:rsidRDefault="008767A3">
      <w:pPr>
        <w:rPr>
          <w:b/>
          <w:bCs/>
        </w:rPr>
      </w:pPr>
    </w:p>
    <w:p w14:paraId="4213C96A" w14:textId="77777777" w:rsidR="008767A3" w:rsidRDefault="000B21E9">
      <w:pPr>
        <w:rPr>
          <w:b/>
          <w:bCs/>
          <w:u w:val="single"/>
        </w:rPr>
      </w:pPr>
      <w:r>
        <w:rPr>
          <w:b/>
          <w:bCs/>
          <w:u w:val="single"/>
        </w:rPr>
        <w:lastRenderedPageBreak/>
        <w:t>Hinweise zur Einreichung der Beteiligung</w:t>
      </w:r>
    </w:p>
    <w:p w14:paraId="0C22C22D" w14:textId="77777777" w:rsidR="008767A3" w:rsidRDefault="000B21E9">
      <w:pPr>
        <w:rPr>
          <w:bCs/>
          <w:sz w:val="22"/>
        </w:rPr>
      </w:pPr>
      <w:r>
        <w:rPr>
          <w:bCs/>
          <w:noProof/>
          <w:sz w:val="22"/>
          <w:lang w:eastAsia="de-DE"/>
        </w:rPr>
        <mc:AlternateContent>
          <mc:Choice Requires="wps">
            <w:drawing>
              <wp:anchor distT="0" distB="0" distL="114300" distR="114300" simplePos="0" relativeHeight="251659264" behindDoc="0" locked="0" layoutInCell="1" allowOverlap="1" wp14:anchorId="6B8473F1" wp14:editId="5360E07B">
                <wp:simplePos x="0" y="0"/>
                <wp:positionH relativeFrom="column">
                  <wp:posOffset>-80645</wp:posOffset>
                </wp:positionH>
                <wp:positionV relativeFrom="paragraph">
                  <wp:posOffset>116839</wp:posOffset>
                </wp:positionV>
                <wp:extent cx="5886450" cy="923925"/>
                <wp:effectExtent l="0" t="0" r="19050" b="28575"/>
                <wp:wrapNone/>
                <wp:docPr id="4" name="Rechteck 4"/>
                <wp:cNvGraphicFramePr/>
                <a:graphic xmlns:a="http://schemas.openxmlformats.org/drawingml/2006/main">
                  <a:graphicData uri="http://schemas.microsoft.com/office/word/2010/wordprocessingShape">
                    <wps:wsp>
                      <wps:cNvSpPr/>
                      <wps:spPr>
                        <a:xfrm>
                          <a:off x="0" y="0"/>
                          <a:ext cx="5886450" cy="923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margin-left:-6.35pt;margin-top:9.2pt;width:463.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" filled="f" strokecolor="black [3213]" strokeweight="1pt"/>
            </w:pict>
          </mc:Fallback>
        </mc:AlternateContent>
      </w:r>
    </w:p>
    <w:p w14:paraId="2C7FE395" w14:textId="77777777" w:rsidR="008767A3" w:rsidRDefault="000B21E9">
      <w:pPr>
        <w:rPr>
          <w:bCs/>
          <w:sz w:val="22"/>
        </w:rPr>
      </w:pPr>
      <w:r>
        <w:rPr>
          <w:bCs/>
          <w:sz w:val="22"/>
        </w:rPr>
        <w:t xml:space="preserve">Die Beteiligung </w:t>
      </w:r>
      <w:r>
        <w:rPr>
          <w:b/>
          <w:bCs/>
          <w:sz w:val="22"/>
        </w:rPr>
        <w:t>muss</w:t>
      </w:r>
      <w:r>
        <w:rPr>
          <w:bCs/>
          <w:sz w:val="22"/>
        </w:rPr>
        <w:t xml:space="preserve"> von einer </w:t>
      </w:r>
      <w:r>
        <w:rPr>
          <w:b/>
          <w:bCs/>
          <w:sz w:val="22"/>
        </w:rPr>
        <w:t>vorlageberechtigten Person</w:t>
      </w:r>
      <w:r>
        <w:rPr>
          <w:bCs/>
          <w:sz w:val="22"/>
        </w:rPr>
        <w:t xml:space="preserve"> vorgelegt und unterschrieben werden. Wir bitten Sie daher darum uns eine </w:t>
      </w:r>
      <w:r>
        <w:rPr>
          <w:b/>
          <w:bCs/>
          <w:sz w:val="22"/>
        </w:rPr>
        <w:t>Bearbeitungsfrist von 4-6 Wochen</w:t>
      </w:r>
      <w:r>
        <w:rPr>
          <w:bCs/>
          <w:sz w:val="22"/>
        </w:rPr>
        <w:t xml:space="preserve"> für die Prüfung der Unterlagen und das Stellungnahmeverfahren zu gewähren, dann muss kein weiterer Fristverlängerungsbeschluss </w:t>
      </w:r>
      <w:r>
        <w:rPr>
          <w:bCs/>
          <w:color w:val="000000"/>
          <w:sz w:val="22"/>
        </w:rPr>
        <w:t xml:space="preserve">im Plenum gefasst </w:t>
      </w:r>
      <w:r>
        <w:rPr>
          <w:bCs/>
          <w:sz w:val="22"/>
        </w:rPr>
        <w:t xml:space="preserve">werden. </w:t>
      </w:r>
      <w:r>
        <w:rPr>
          <w:bCs/>
          <w:sz w:val="22"/>
        </w:rPr>
        <w:br/>
      </w:r>
    </w:p>
    <w:p w14:paraId="414A9D8D" w14:textId="77777777" w:rsidR="008767A3" w:rsidRDefault="008767A3">
      <w:pPr>
        <w:rPr>
          <w:b/>
          <w:sz w:val="22"/>
        </w:rPr>
      </w:pPr>
    </w:p>
    <w:p w14:paraId="668AFC91" w14:textId="77777777" w:rsidR="008767A3" w:rsidRDefault="000B21E9">
      <w:pPr>
        <w:rPr>
          <w:sz w:val="22"/>
        </w:rPr>
      </w:pPr>
      <w:r>
        <w:rPr>
          <w:b/>
          <w:sz w:val="22"/>
        </w:rPr>
        <w:t xml:space="preserve">Den Probeechtbetrieb können Sie für einen Zeitraum von bis zu </w:t>
      </w:r>
      <w:r>
        <w:rPr>
          <w:b/>
          <w:sz w:val="22"/>
          <w:u w:val="single"/>
        </w:rPr>
        <w:t>12 Monaten</w:t>
      </w:r>
      <w:r>
        <w:rPr>
          <w:b/>
          <w:sz w:val="22"/>
        </w:rPr>
        <w:t xml:space="preserve"> beteiligen (Ausnahmen in Absprache mit dem HPR/HSBV)</w:t>
      </w:r>
      <w:r>
        <w:rPr>
          <w:sz w:val="22"/>
        </w:rPr>
        <w:t xml:space="preserve"> und ihn danach jederzeit, spätestens zum Ablauf des Beteiligungszeitraums, verlängern lassen. Wenn das Verfahren formvollendet, fertig konzeptioniert und barrierefrei ist, können Sie den Echtbetrieb beantragen.</w:t>
      </w:r>
      <w:r>
        <w:rPr>
          <w:sz w:val="22"/>
        </w:rPr>
        <w:br/>
      </w:r>
    </w:p>
    <w:p w14:paraId="7D08386A" w14:textId="77777777" w:rsidR="008767A3" w:rsidRDefault="000B21E9">
      <w:pPr>
        <w:rPr>
          <w:b/>
          <w:sz w:val="22"/>
        </w:rPr>
      </w:pPr>
      <w:r>
        <w:rPr>
          <w:b/>
          <w:sz w:val="22"/>
        </w:rPr>
        <w:t xml:space="preserve">Zum Verständnis: </w:t>
      </w:r>
    </w:p>
    <w:p w14:paraId="3F69305F" w14:textId="77777777" w:rsidR="008767A3" w:rsidRDefault="000B21E9">
      <w:pPr>
        <w:rPr>
          <w:sz w:val="22"/>
        </w:rPr>
      </w:pPr>
      <w:r>
        <w:rPr>
          <w:sz w:val="22"/>
        </w:rPr>
        <w:t>Aus der Sicht des PersVG gibt es keinen Probeechtbetrieb (PEB), jedoch Echtbetriebe von IT-Verfahren. Der PEB wurde als Grauzone für Verfahren eingeführt, um eine ständige Nichtzustimmung/Ablehnung und dadurch Nichteinführung von IT-Verfahren zu verhindern und diese im laufenden Prozess zu begleiten. Dies bedeutet, dass Sie in der Software bereits mit echten Beschäftigtendaten arbeiten können, jedoch begleiten Sie der HPR und die HSBV in dieser Phase und besprechen mit Ihnen wichtige Anpassungen und das wei</w:t>
      </w:r>
      <w:r>
        <w:rPr>
          <w:sz w:val="22"/>
        </w:rPr>
        <w:t>tere Vorgehen im Verfahren.</w:t>
      </w:r>
    </w:p>
    <w:p w14:paraId="41717BB6" w14:textId="77777777" w:rsidR="008767A3" w:rsidRDefault="008767A3">
      <w:pPr>
        <w:rPr>
          <w:sz w:val="22"/>
        </w:rPr>
      </w:pPr>
    </w:p>
    <w:p w14:paraId="39A3CEBB" w14:textId="77777777" w:rsidR="008767A3" w:rsidRDefault="000B21E9">
      <w:pPr>
        <w:rPr>
          <w:b/>
          <w:sz w:val="22"/>
        </w:rPr>
      </w:pPr>
      <w:r>
        <w:rPr>
          <w:b/>
          <w:sz w:val="22"/>
        </w:rPr>
        <w:t xml:space="preserve">Zur begrifflichen Einordnung: </w:t>
      </w:r>
    </w:p>
    <w:p w14:paraId="5C3EBF10" w14:textId="77777777" w:rsidR="008767A3" w:rsidRDefault="000B21E9">
      <w:pPr>
        <w:pStyle w:val="Listenabsatz"/>
        <w:numPr>
          <w:ilvl w:val="0"/>
          <w:numId w:val="12"/>
        </w:numPr>
        <w:rPr>
          <w:sz w:val="22"/>
        </w:rPr>
      </w:pPr>
      <w:r>
        <w:rPr>
          <w:sz w:val="22"/>
        </w:rPr>
        <w:t xml:space="preserve">Testbetrieb: Testung des Programms/ der Software ohne Echtdaten. </w:t>
      </w:r>
    </w:p>
    <w:p w14:paraId="6E34AE90" w14:textId="77777777" w:rsidR="008767A3" w:rsidRDefault="000B21E9">
      <w:pPr>
        <w:pStyle w:val="Listenabsatz"/>
        <w:numPr>
          <w:ilvl w:val="0"/>
          <w:numId w:val="12"/>
        </w:numPr>
        <w:rPr>
          <w:sz w:val="22"/>
        </w:rPr>
      </w:pPr>
      <w:r>
        <w:rPr>
          <w:sz w:val="22"/>
        </w:rPr>
        <w:t>Probeechtbetrieb (PEB): Arbeiten mit Echtdaten mit Begleitung der Gremien</w:t>
      </w:r>
    </w:p>
    <w:p w14:paraId="7619BDC6" w14:textId="77777777" w:rsidR="008767A3" w:rsidRDefault="000B21E9">
      <w:pPr>
        <w:pStyle w:val="Listenabsatz"/>
        <w:numPr>
          <w:ilvl w:val="0"/>
          <w:numId w:val="12"/>
        </w:numPr>
        <w:rPr>
          <w:sz w:val="22"/>
        </w:rPr>
      </w:pPr>
      <w:r>
        <w:rPr>
          <w:sz w:val="22"/>
        </w:rPr>
        <w:t xml:space="preserve">Echtbetrieb: Arbeiten mit Echtdaten ohne Begleitung der Gremien </w:t>
      </w:r>
    </w:p>
    <w:p w14:paraId="549251AF" w14:textId="77777777" w:rsidR="008767A3" w:rsidRDefault="008767A3">
      <w:pPr>
        <w:rPr>
          <w:b/>
          <w:u w:val="single"/>
        </w:rPr>
      </w:pPr>
    </w:p>
    <w:p w14:paraId="0C54910D" w14:textId="77777777" w:rsidR="008767A3" w:rsidRDefault="008767A3">
      <w:pPr>
        <w:rPr>
          <w:b/>
          <w:u w:val="single"/>
        </w:rPr>
      </w:pPr>
    </w:p>
    <w:p w14:paraId="234D5779" w14:textId="77777777" w:rsidR="008767A3" w:rsidRDefault="000B21E9">
      <w:pPr>
        <w:rPr>
          <w:b/>
          <w:u w:val="single"/>
        </w:rPr>
      </w:pPr>
      <w:r>
        <w:rPr>
          <w:b/>
          <w:u w:val="single"/>
        </w:rPr>
        <w:t>Hinweise zum Barrierefreiheitsgutachten</w:t>
      </w:r>
    </w:p>
    <w:p w14:paraId="692175D3" w14:textId="77777777" w:rsidR="008767A3" w:rsidRDefault="008767A3">
      <w:pPr>
        <w:rPr>
          <w:b/>
          <w:u w:val="single"/>
        </w:rPr>
      </w:pPr>
    </w:p>
    <w:p w14:paraId="43B21AAF" w14:textId="77777777" w:rsidR="008767A3" w:rsidRDefault="000B21E9">
      <w:pPr>
        <w:rPr>
          <w:color w:val="000000"/>
          <w:sz w:val="22"/>
        </w:rPr>
      </w:pPr>
      <w:r>
        <w:rPr>
          <w:color w:val="000000"/>
          <w:sz w:val="22"/>
        </w:rPr>
        <w:t xml:space="preserve">Die Richtlinien für barrierefreie Webinhalte finden sich im WCAG 2.0, EN 301 549, </w:t>
      </w:r>
      <w:r>
        <w:rPr>
          <w:color w:val="000000"/>
          <w:sz w:val="22"/>
        </w:rPr>
        <w:t>EU-Richtlinie 2012 und im B-IKT-Gesetz wieder.</w:t>
      </w:r>
    </w:p>
    <w:p w14:paraId="22B68F28" w14:textId="77777777" w:rsidR="008767A3" w:rsidRDefault="008767A3">
      <w:pPr>
        <w:rPr>
          <w:color w:val="000000"/>
          <w:sz w:val="22"/>
        </w:rPr>
      </w:pPr>
    </w:p>
    <w:p w14:paraId="509EB45E" w14:textId="77777777" w:rsidR="008767A3" w:rsidRDefault="000B21E9">
      <w:pPr>
        <w:rPr>
          <w:color w:val="000000"/>
          <w:sz w:val="22"/>
        </w:rPr>
      </w:pPr>
      <w:r>
        <w:rPr>
          <w:color w:val="000000"/>
          <w:sz w:val="22"/>
        </w:rPr>
        <w:t>Das Gutachten muss zur Erstbeteiligung nicht zwangsläufig vorliegen, da die Gutachtenstellen stark ausgelastet sind und einige Monate zur Erstellung in Anspruch nehmen. Allerdings benötigen wir einen Auftragsvergabenachweis, diesen fordert auch die Hauptschwerbehindertenvertretung ein. Der Gutachten-Anbieter muss in jedem Fall unabhängig und darf nicht der Dienstleister selbst sein.</w:t>
      </w:r>
    </w:p>
    <w:p w14:paraId="737A54E2" w14:textId="77777777" w:rsidR="008767A3" w:rsidRDefault="008767A3">
      <w:pPr>
        <w:rPr>
          <w:color w:val="000000"/>
          <w:sz w:val="22"/>
        </w:rPr>
      </w:pPr>
    </w:p>
    <w:p w14:paraId="37176108" w14:textId="77777777" w:rsidR="008767A3" w:rsidRDefault="000B21E9">
      <w:pPr>
        <w:rPr>
          <w:color w:val="000000"/>
          <w:sz w:val="22"/>
        </w:rPr>
      </w:pPr>
      <w:r>
        <w:rPr>
          <w:color w:val="000000"/>
          <w:sz w:val="22"/>
        </w:rPr>
        <w:t xml:space="preserve">Zu Fragen der Barrierefreiheit, auch zu </w:t>
      </w:r>
      <w:proofErr w:type="spellStart"/>
      <w:r>
        <w:rPr>
          <w:color w:val="000000"/>
          <w:sz w:val="22"/>
        </w:rPr>
        <w:t>Gutachter:innen</w:t>
      </w:r>
      <w:proofErr w:type="spellEnd"/>
      <w:r>
        <w:rPr>
          <w:color w:val="000000"/>
          <w:sz w:val="22"/>
        </w:rPr>
        <w:t xml:space="preserve">, wenden Sie sich bitte direkt an die HSBV. Die </w:t>
      </w:r>
      <w:proofErr w:type="spellStart"/>
      <w:r>
        <w:rPr>
          <w:color w:val="000000"/>
          <w:sz w:val="22"/>
        </w:rPr>
        <w:t>Kollegen:innen</w:t>
      </w:r>
      <w:proofErr w:type="spellEnd"/>
      <w:r>
        <w:rPr>
          <w:color w:val="000000"/>
          <w:sz w:val="22"/>
        </w:rPr>
        <w:t xml:space="preserve"> dort können Ihnen insbesondere alle wichtigen Aspekte zur Barrierefreiheit beantworten. </w:t>
      </w:r>
      <w:hyperlink r:id="rId12" w:history="1">
        <w:r>
          <w:rPr>
            <w:rStyle w:val="Hyperlink"/>
            <w:sz w:val="22"/>
          </w:rPr>
          <w:t>hvp@hvp.berlin.de</w:t>
        </w:r>
      </w:hyperlink>
      <w:r>
        <w:rPr>
          <w:color w:val="000000"/>
          <w:sz w:val="22"/>
        </w:rPr>
        <w:t xml:space="preserve"> oder Sie wenden sich an die Landesbeauftragte für Barrierefreiheit Wiebke Müller: </w:t>
      </w:r>
      <w:hyperlink r:id="rId13" w:history="1">
        <w:r>
          <w:rPr>
            <w:rStyle w:val="Hyperlink"/>
          </w:rPr>
          <w:t>Landesbeauftragte für digitale Barrierefreiheit - b-intern</w:t>
        </w:r>
      </w:hyperlink>
      <w:r>
        <w:rPr>
          <w:color w:val="000000"/>
          <w:sz w:val="22"/>
        </w:rPr>
        <w:br/>
      </w:r>
    </w:p>
    <w:p w14:paraId="16F23E5C" w14:textId="77777777" w:rsidR="008767A3" w:rsidRDefault="008767A3">
      <w:pPr>
        <w:rPr>
          <w:color w:val="000000"/>
          <w:sz w:val="22"/>
        </w:rPr>
      </w:pPr>
    </w:p>
    <w:p w14:paraId="664F09B7" w14:textId="77777777" w:rsidR="008767A3" w:rsidRDefault="008767A3">
      <w:pPr>
        <w:rPr>
          <w:sz w:val="22"/>
          <w:u w:val="single"/>
        </w:rPr>
      </w:pPr>
    </w:p>
    <w:p w14:paraId="01349776" w14:textId="77777777" w:rsidR="008767A3" w:rsidRDefault="008767A3">
      <w:pPr>
        <w:rPr>
          <w:sz w:val="22"/>
          <w:u w:val="single"/>
        </w:rPr>
      </w:pPr>
    </w:p>
    <w:p w14:paraId="59A34582" w14:textId="77777777" w:rsidR="008767A3" w:rsidRDefault="000B21E9">
      <w:pPr>
        <w:rPr>
          <w:b/>
          <w:u w:val="single"/>
        </w:rPr>
      </w:pPr>
      <w:r>
        <w:rPr>
          <w:b/>
          <w:u w:val="single"/>
        </w:rPr>
        <w:lastRenderedPageBreak/>
        <w:t>Hinweise zum Usability-Gutachten</w:t>
      </w:r>
    </w:p>
    <w:p w14:paraId="67AE7C8B" w14:textId="77777777" w:rsidR="008767A3" w:rsidRDefault="008767A3">
      <w:pPr>
        <w:rPr>
          <w:b/>
          <w:u w:val="single"/>
        </w:rPr>
      </w:pPr>
    </w:p>
    <w:p w14:paraId="2BECD084" w14:textId="77777777" w:rsidR="008767A3" w:rsidRDefault="000B21E9">
      <w:pPr>
        <w:rPr>
          <w:sz w:val="22"/>
        </w:rPr>
      </w:pPr>
      <w:r>
        <w:rPr>
          <w:sz w:val="22"/>
        </w:rPr>
        <w:t>Es gibt derzeit 8 Anbieter für die Erstellung des Usability-Gutachten, die von der Senatskanzlei geprüft und zugelassen sind (Stand 2018-Auflistung siehe unten).</w:t>
      </w:r>
    </w:p>
    <w:p w14:paraId="370820A2" w14:textId="77777777" w:rsidR="008767A3" w:rsidRDefault="008767A3">
      <w:pPr>
        <w:rPr>
          <w:color w:val="000000"/>
          <w:sz w:val="22"/>
        </w:rPr>
      </w:pPr>
    </w:p>
    <w:p w14:paraId="4DD8C808" w14:textId="77777777" w:rsidR="008767A3" w:rsidRDefault="000B21E9">
      <w:pPr>
        <w:pStyle w:val="KeinLeerraum"/>
        <w:rPr>
          <w:sz w:val="22"/>
          <w:szCs w:val="22"/>
        </w:rPr>
      </w:pPr>
      <w:r>
        <w:rPr>
          <w:sz w:val="22"/>
          <w:szCs w:val="22"/>
        </w:rPr>
        <w:t xml:space="preserve">Nachstehend die </w:t>
      </w:r>
      <w:r>
        <w:rPr>
          <w:sz w:val="22"/>
          <w:szCs w:val="22"/>
          <w:u w:val="single"/>
        </w:rPr>
        <w:t>Rechtsgrundlagen</w:t>
      </w:r>
      <w:r>
        <w:rPr>
          <w:sz w:val="22"/>
          <w:szCs w:val="22"/>
        </w:rPr>
        <w:t xml:space="preserve"> hinsichtlich der Anforderungen an die Ergonomie und Gebrauchstauglichkeit (Usability) welche sich u.a. aus den §§ des Landespersonalvertretungsgesetzes Berlin ergeben: </w:t>
      </w:r>
    </w:p>
    <w:p w14:paraId="107ECB4D" w14:textId="77777777" w:rsidR="008767A3" w:rsidRDefault="000B21E9">
      <w:pPr>
        <w:pStyle w:val="KeinLeerraum"/>
        <w:rPr>
          <w:sz w:val="22"/>
          <w:szCs w:val="22"/>
        </w:rPr>
      </w:pPr>
      <w:r>
        <w:rPr>
          <w:sz w:val="22"/>
          <w:szCs w:val="22"/>
        </w:rPr>
        <w:t xml:space="preserve">§ 73 Informationsrecht, § 79 Mitbestimmung und § 85 Allgemeine Angelegenheiten, Absatz 1 Nr. 12 (Gestaltung der Arbeitsplätze) u.a. i.V.m. dem Arbeitsschutzgesetz und hier der Ermächtigung in § 19 ArbSchG und den zahlreichen Rechtsverordnungen, die einzelne Bereiche des Arbeitsschutzes betreffen, wie z. B. </w:t>
      </w:r>
      <w:proofErr w:type="spellStart"/>
      <w:r>
        <w:rPr>
          <w:sz w:val="22"/>
          <w:szCs w:val="22"/>
        </w:rPr>
        <w:t>BildschirmarbeitsVO</w:t>
      </w:r>
      <w:proofErr w:type="spellEnd"/>
      <w:r>
        <w:rPr>
          <w:sz w:val="22"/>
          <w:szCs w:val="22"/>
        </w:rPr>
        <w:t xml:space="preserve"> oder die </w:t>
      </w:r>
      <w:proofErr w:type="spellStart"/>
      <w:r>
        <w:rPr>
          <w:sz w:val="22"/>
          <w:szCs w:val="22"/>
        </w:rPr>
        <w:t>ArbeitsstättenVO</w:t>
      </w:r>
      <w:proofErr w:type="spellEnd"/>
      <w:r>
        <w:rPr>
          <w:sz w:val="22"/>
          <w:szCs w:val="22"/>
        </w:rPr>
        <w:t xml:space="preserve"> und den sich daraus ergebenden Anforderungen und weiteren Rechtsnormen wie der ISO 9241. </w:t>
      </w:r>
    </w:p>
    <w:p w14:paraId="6B4A0E21" w14:textId="77777777" w:rsidR="008767A3" w:rsidRDefault="008767A3">
      <w:pPr>
        <w:pStyle w:val="KeinLeerraum"/>
        <w:rPr>
          <w:sz w:val="22"/>
          <w:szCs w:val="22"/>
        </w:rPr>
      </w:pPr>
    </w:p>
    <w:p w14:paraId="130CFAEE" w14:textId="77777777" w:rsidR="008767A3" w:rsidRDefault="000B21E9">
      <w:pPr>
        <w:pStyle w:val="KeinLeerraum"/>
        <w:rPr>
          <w:sz w:val="22"/>
          <w:szCs w:val="22"/>
        </w:rPr>
      </w:pPr>
      <w:r>
        <w:rPr>
          <w:sz w:val="22"/>
          <w:szCs w:val="22"/>
        </w:rPr>
        <w:t xml:space="preserve">Die Gestaltung der Arbeitsplätze nach § 85 Abs.2, Nr. 12 meint zwar den Arbeitsplatz in räumlicher Hinsicht, die Gestaltung der unmittelbaren Umgebung und des </w:t>
      </w:r>
      <w:r>
        <w:rPr>
          <w:sz w:val="22"/>
          <w:szCs w:val="22"/>
        </w:rPr>
        <w:t>Arbeitsplatzes selbst, an dem Beschäftigte tätig sind, müssen jedoch ebenso mitbestimmt werden, und zwar vor einer Neueinrichtung ebenso wie vor nicht ganz unwesentlichen Veränderungen. Zum Arbeitsplatz gehören das Mobiliar und sämtliche Arbeitsmittel. Ob ein oder mehrere Beschäftigte dort tätig sind, ob länger oder kürzer (z. B. an einem Kopierer), spielt keine Rolle. Der Arbeitsplatz kann auch im Fahrzeug sein oder im Freien. Mitbestimmungspflichtig ist auch eine Entscheidung der Dienststelle, wie viele A</w:t>
      </w:r>
      <w:r>
        <w:rPr>
          <w:sz w:val="22"/>
          <w:szCs w:val="22"/>
        </w:rPr>
        <w:t>rbeitsplätze sich in einem Raum befinden. Mitbestimmungspflichtig sind die Ausgestaltungen der räumlichen, d. h. auch der technischen Bedingungen, unter denen Arbeitsaufgaben zu erfüllen sind. Dazu gehören auch Regelungen über die Abwehr von Beeinträchtigungen durch nachteilige Einflüsse von außen (Helligkeit, Raumtemperatur, Feuchtigkeit u. ä.). Zur Gestaltung gehört auch die Entscheidung über die technischen Hilfsmittel, und zwar sowohl in Bezug auf die Hardware (PC, Monitor, Drucker, Terminal eines Großr</w:t>
      </w:r>
      <w:r>
        <w:rPr>
          <w:sz w:val="22"/>
          <w:szCs w:val="22"/>
        </w:rPr>
        <w:t>echners etc.), als auch, unter dem Aspekt der Ergonomie, die Entscheidung über die zur Anwendung kommende Software. (aus dem Basiskommentar DPW (4. Auflage) zum Personalvertretungsgesetz Berlin)</w:t>
      </w:r>
    </w:p>
    <w:p w14:paraId="74034883" w14:textId="77777777" w:rsidR="008767A3" w:rsidRDefault="008767A3">
      <w:pPr>
        <w:rPr>
          <w:color w:val="000000"/>
          <w:sz w:val="22"/>
        </w:rPr>
      </w:pPr>
    </w:p>
    <w:p w14:paraId="027C4388" w14:textId="18ED90F7" w:rsidR="000B21E9" w:rsidRDefault="000B21E9">
      <w:pPr>
        <w:rPr>
          <w:color w:val="000000"/>
          <w:sz w:val="22"/>
        </w:rPr>
      </w:pPr>
      <w:r>
        <w:rPr>
          <w:color w:val="000000"/>
          <w:sz w:val="22"/>
        </w:rPr>
        <w:t>Bitte führen Sie hierzu eine Vergabe für ein unabhängiges Usability Gutachten durch.</w:t>
      </w:r>
    </w:p>
    <w:p w14:paraId="56158638" w14:textId="4DD2C425" w:rsidR="000B21E9" w:rsidRDefault="000B21E9">
      <w:pPr>
        <w:rPr>
          <w:color w:val="000000"/>
          <w:sz w:val="22"/>
        </w:rPr>
      </w:pPr>
      <w:r>
        <w:rPr>
          <w:color w:val="000000"/>
          <w:sz w:val="22"/>
        </w:rPr>
        <w:t>Die Kosten hierfür betragen ca. 80.000€.</w:t>
      </w:r>
    </w:p>
    <w:p w14:paraId="1DB7A809" w14:textId="1715D5FC" w:rsidR="000B21E9" w:rsidRDefault="000B21E9">
      <w:pPr>
        <w:rPr>
          <w:color w:val="000000"/>
          <w:sz w:val="22"/>
        </w:rPr>
      </w:pPr>
      <w:r>
        <w:rPr>
          <w:color w:val="000000"/>
          <w:sz w:val="22"/>
        </w:rPr>
        <w:t>Ein bekannter Usability Gutachter ist z.B. Dr. Simon Nestler.</w:t>
      </w:r>
    </w:p>
    <w:p w14:paraId="24FEDE02" w14:textId="77777777" w:rsidR="000B21E9" w:rsidRDefault="000B21E9">
      <w:pPr>
        <w:rPr>
          <w:color w:val="000000"/>
          <w:sz w:val="22"/>
        </w:rPr>
      </w:pPr>
    </w:p>
    <w:p w14:paraId="35C15FB3" w14:textId="77777777" w:rsidR="000B21E9" w:rsidRPr="000B21E9" w:rsidRDefault="000B21E9">
      <w:pPr>
        <w:rPr>
          <w:color w:val="000000"/>
          <w:sz w:val="22"/>
        </w:rPr>
      </w:pPr>
    </w:p>
    <w:sectPr w:rsidR="000B21E9" w:rsidRPr="000B21E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EC1A" w14:textId="77777777" w:rsidR="008767A3" w:rsidRDefault="000B21E9">
      <w:pPr>
        <w:spacing w:line="240" w:lineRule="auto"/>
      </w:pPr>
      <w:r>
        <w:separator/>
      </w:r>
    </w:p>
  </w:endnote>
  <w:endnote w:type="continuationSeparator" w:id="0">
    <w:p w14:paraId="2E86A92D" w14:textId="77777777" w:rsidR="008767A3" w:rsidRDefault="000B2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Type">
    <w:panose1 w:val="020B0502020203020204"/>
    <w:charset w:val="00"/>
    <w:family w:val="swiss"/>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5308" w14:textId="77777777" w:rsidR="008767A3" w:rsidRDefault="008767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EAAF" w14:textId="77777777" w:rsidR="008767A3" w:rsidRDefault="008767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98DE" w14:textId="77777777" w:rsidR="008767A3" w:rsidRDefault="008767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D162" w14:textId="77777777" w:rsidR="008767A3" w:rsidRDefault="000B21E9">
      <w:pPr>
        <w:spacing w:line="240" w:lineRule="auto"/>
      </w:pPr>
      <w:r>
        <w:separator/>
      </w:r>
    </w:p>
  </w:footnote>
  <w:footnote w:type="continuationSeparator" w:id="0">
    <w:p w14:paraId="4BE163A3" w14:textId="77777777" w:rsidR="008767A3" w:rsidRDefault="000B21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1899" w14:textId="77777777" w:rsidR="008767A3" w:rsidRDefault="008767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A787" w14:textId="77777777" w:rsidR="008767A3" w:rsidRDefault="008767A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754E" w14:textId="77777777" w:rsidR="008767A3" w:rsidRDefault="000B21E9">
    <w:pPr>
      <w:rPr>
        <w:rFonts w:ascii="Berlin Type" w:hAnsi="Berlin Type" w:cs="Arial"/>
        <w:sz w:val="20"/>
        <w:szCs w:val="24"/>
      </w:rPr>
    </w:pPr>
    <w:r>
      <w:rPr>
        <w:noProof/>
        <w:sz w:val="20"/>
        <w:lang w:eastAsia="de-DE"/>
      </w:rPr>
      <w:drawing>
        <wp:anchor distT="0" distB="0" distL="114300" distR="114300" simplePos="0" relativeHeight="251659264" behindDoc="1" locked="0" layoutInCell="1" allowOverlap="1" wp14:anchorId="475BF82E" wp14:editId="2E4CC64B">
          <wp:simplePos x="0" y="0"/>
          <wp:positionH relativeFrom="margin">
            <wp:posOffset>4767579</wp:posOffset>
          </wp:positionH>
          <wp:positionV relativeFrom="margin">
            <wp:posOffset>-716280</wp:posOffset>
          </wp:positionV>
          <wp:extent cx="1200565" cy="400050"/>
          <wp:effectExtent l="0" t="0" r="0" b="0"/>
          <wp:wrapNone/>
          <wp:docPr id="2" name="Bild 2" descr="B_Logo_M_PW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_Logo_M_PW_4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4347" cy="401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lin Type" w:hAnsi="Berlin Type" w:cs="Arial"/>
        <w:b/>
        <w:szCs w:val="24"/>
      </w:rPr>
      <w:t>Hauptpersonalrat</w:t>
    </w:r>
    <w:r>
      <w:rPr>
        <w:rFonts w:ascii="Berlin Type" w:hAnsi="Berlin Type" w:cs="Arial"/>
        <w:b/>
        <w:szCs w:val="24"/>
      </w:rPr>
      <w:br/>
    </w:r>
    <w:r>
      <w:rPr>
        <w:rFonts w:ascii="Berlin Type" w:hAnsi="Berlin Type" w:cs="Arial"/>
        <w:sz w:val="20"/>
        <w:szCs w:val="24"/>
      </w:rPr>
      <w:t>für die Behörden, Gerichte und nichtrechtsfähigen</w:t>
    </w:r>
    <w:r>
      <w:rPr>
        <w:rFonts w:ascii="Berlin Type" w:hAnsi="Berlin Type" w:cs="Arial"/>
        <w:sz w:val="20"/>
        <w:szCs w:val="24"/>
      </w:rPr>
      <w:br/>
      <w:t xml:space="preserve">Anstalten des Landes Berlin </w:t>
    </w:r>
  </w:p>
  <w:p w14:paraId="141A3536" w14:textId="77777777" w:rsidR="008767A3" w:rsidRDefault="008767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7BF"/>
    <w:multiLevelType w:val="hybridMultilevel"/>
    <w:tmpl w:val="9F424C46"/>
    <w:lvl w:ilvl="0" w:tplc="4F98018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1C0D7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32744AC1"/>
    <w:multiLevelType w:val="hybridMultilevel"/>
    <w:tmpl w:val="25A46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D31D25"/>
    <w:multiLevelType w:val="hybridMultilevel"/>
    <w:tmpl w:val="F6E67BAE"/>
    <w:lvl w:ilvl="0" w:tplc="85860E0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62176409">
    <w:abstractNumId w:val="1"/>
  </w:num>
  <w:num w:numId="2" w16cid:durableId="1849247237">
    <w:abstractNumId w:val="1"/>
  </w:num>
  <w:num w:numId="3" w16cid:durableId="1131244209">
    <w:abstractNumId w:val="1"/>
  </w:num>
  <w:num w:numId="4" w16cid:durableId="978338869">
    <w:abstractNumId w:val="1"/>
  </w:num>
  <w:num w:numId="5" w16cid:durableId="1835342989">
    <w:abstractNumId w:val="1"/>
  </w:num>
  <w:num w:numId="6" w16cid:durableId="1269312202">
    <w:abstractNumId w:val="1"/>
  </w:num>
  <w:num w:numId="7" w16cid:durableId="2016179901">
    <w:abstractNumId w:val="1"/>
  </w:num>
  <w:num w:numId="8" w16cid:durableId="254751394">
    <w:abstractNumId w:val="1"/>
  </w:num>
  <w:num w:numId="9" w16cid:durableId="1942057734">
    <w:abstractNumId w:val="1"/>
  </w:num>
  <w:num w:numId="10" w16cid:durableId="848444017">
    <w:abstractNumId w:val="3"/>
  </w:num>
  <w:num w:numId="11" w16cid:durableId="426968397">
    <w:abstractNumId w:val="2"/>
  </w:num>
  <w:num w:numId="12" w16cid:durableId="20750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A3"/>
    <w:rsid w:val="000B21E9"/>
    <w:rsid w:val="003A4E73"/>
    <w:rsid w:val="008767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12584F"/>
  <w15:chartTrackingRefBased/>
  <w15:docId w15:val="{E68D3946-07C3-4247-8389-B2E90A64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3" w:lineRule="atLeast"/>
    </w:pPr>
    <w:rPr>
      <w:rFonts w:ascii="Berlin Type Office" w:hAnsi="Berlin Type Office"/>
      <w:sz w:val="24"/>
    </w:rPr>
  </w:style>
  <w:style w:type="paragraph" w:styleId="berschrift1">
    <w:name w:val="heading 1"/>
    <w:basedOn w:val="Standard"/>
    <w:next w:val="Standard"/>
    <w:link w:val="berschrift1Zchn"/>
    <w:uiPriority w:val="9"/>
    <w:qFormat/>
    <w:pPr>
      <w:keepNext/>
      <w:keepLines/>
      <w:numPr>
        <w:numId w:val="9"/>
      </w:numPr>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numPr>
        <w:ilvl w:val="1"/>
        <w:numId w:val="9"/>
      </w:numPr>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pPr>
      <w:keepNext/>
      <w:keepLines/>
      <w:numPr>
        <w:ilvl w:val="2"/>
        <w:numId w:val="9"/>
      </w:numPr>
      <w:spacing w:before="200"/>
      <w:outlineLvl w:val="2"/>
    </w:pPr>
    <w:rPr>
      <w:rFonts w:eastAsiaTheme="majorEastAsia" w:cstheme="majorBidi"/>
      <w:b/>
      <w:bCs/>
    </w:rPr>
  </w:style>
  <w:style w:type="paragraph" w:styleId="berschrift4">
    <w:name w:val="heading 4"/>
    <w:basedOn w:val="Standard"/>
    <w:next w:val="Standard"/>
    <w:link w:val="berschrift4Zchn"/>
    <w:uiPriority w:val="9"/>
    <w:unhideWhenUsed/>
    <w:qFormat/>
    <w:pPr>
      <w:keepNext/>
      <w:keepLines/>
      <w:numPr>
        <w:ilvl w:val="3"/>
        <w:numId w:val="9"/>
      </w:numPr>
      <w:spacing w:before="20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pPr>
      <w:keepNext/>
      <w:keepLines/>
      <w:numPr>
        <w:ilvl w:val="4"/>
        <w:numId w:val="9"/>
      </w:numPr>
      <w:spacing w:before="20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theme="majorBidi"/>
      <w:b/>
      <w:bCs/>
      <w:sz w:val="28"/>
      <w:szCs w:val="28"/>
    </w:rPr>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Titel">
    <w:name w:val="Title"/>
    <w:basedOn w:val="Standard"/>
    <w:next w:val="Standard"/>
    <w:link w:val="TitelZchn"/>
    <w:uiPriority w:val="10"/>
    <w:qFormat/>
    <w:pP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spacing w:val="5"/>
      <w:kern w:val="28"/>
      <w:sz w:val="52"/>
      <w:szCs w:val="52"/>
    </w:rPr>
  </w:style>
  <w:style w:type="character" w:customStyle="1" w:styleId="berschrift2Zchn">
    <w:name w:val="Überschrift 2 Zchn"/>
    <w:basedOn w:val="Absatz-Standardschriftart"/>
    <w:link w:val="berschrift2"/>
    <w:uiPriority w:val="9"/>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Pr>
      <w:rFonts w:ascii="Arial" w:eastAsiaTheme="majorEastAsia" w:hAnsi="Arial" w:cstheme="majorBidi"/>
      <w:b/>
      <w:bCs/>
      <w:sz w:val="24"/>
    </w:rPr>
  </w:style>
  <w:style w:type="character" w:customStyle="1" w:styleId="berschrift4Zchn">
    <w:name w:val="Überschrift 4 Zchn"/>
    <w:basedOn w:val="Absatz-Standardschriftart"/>
    <w:link w:val="berschrift4"/>
    <w:uiPriority w:val="9"/>
    <w:rPr>
      <w:rFonts w:ascii="Berlin Type Office" w:eastAsiaTheme="majorEastAsia" w:hAnsi="Berlin Type Office" w:cstheme="majorBidi"/>
      <w:bCs/>
      <w:iCs/>
      <w:sz w:val="2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sz w:val="2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Cs/>
      <w:spacing w:val="15"/>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Cs/>
      <w:spacing w:val="15"/>
      <w:sz w:val="24"/>
      <w:szCs w:val="24"/>
    </w:rPr>
  </w:style>
  <w:style w:type="paragraph" w:styleId="Verzeichnis1">
    <w:name w:val="toc 1"/>
    <w:basedOn w:val="Standard"/>
    <w:next w:val="Standard"/>
    <w:autoRedefine/>
    <w:uiPriority w:val="39"/>
    <w:unhideWhenUsed/>
    <w:pPr>
      <w:spacing w:after="100"/>
    </w:pPr>
    <w:rPr>
      <w:sz w:val="28"/>
    </w:rPr>
  </w:style>
  <w:style w:type="paragraph" w:styleId="Verzeichnis2">
    <w:name w:val="toc 2"/>
    <w:basedOn w:val="Standard"/>
    <w:next w:val="Standard"/>
    <w:autoRedefine/>
    <w:uiPriority w:val="39"/>
    <w:unhideWhenUsed/>
    <w:pPr>
      <w:spacing w:after="100"/>
      <w:ind w:left="220"/>
    </w:pPr>
    <w:rPr>
      <w:b/>
    </w:rPr>
  </w:style>
  <w:style w:type="paragraph" w:styleId="Verzeichnis3">
    <w:name w:val="toc 3"/>
    <w:basedOn w:val="Standard"/>
    <w:next w:val="Standard"/>
    <w:autoRedefine/>
    <w:uiPriority w:val="39"/>
    <w:unhideWhenUsed/>
    <w:pPr>
      <w:spacing w:after="100"/>
      <w:ind w:left="440"/>
    </w:pPr>
  </w:style>
  <w:style w:type="paragraph" w:styleId="Verzeichnis4">
    <w:name w:val="toc 4"/>
    <w:basedOn w:val="Standard"/>
    <w:next w:val="Standard"/>
    <w:autoRedefine/>
    <w:uiPriority w:val="39"/>
    <w:unhideWhenUsed/>
    <w:pPr>
      <w:spacing w:after="100"/>
      <w:ind w:left="660"/>
    </w:pPr>
  </w:style>
  <w:style w:type="character" w:styleId="SchwacheHervorhebung">
    <w:name w:val="Subtle Emphasis"/>
    <w:basedOn w:val="Absatz-Standardschriftart"/>
    <w:uiPriority w:val="19"/>
    <w:qFormat/>
    <w:rPr>
      <w:i w:val="0"/>
      <w:iCs/>
      <w:color w:val="404040" w:themeColor="text1" w:themeTint="BF"/>
    </w:rPr>
  </w:style>
  <w:style w:type="character" w:styleId="Hervorhebung">
    <w:name w:val="Emphasis"/>
    <w:basedOn w:val="Absatz-Standardschriftart"/>
    <w:uiPriority w:val="20"/>
    <w:qFormat/>
    <w:rPr>
      <w:i w:val="0"/>
      <w:iCs/>
    </w:rPr>
  </w:style>
  <w:style w:type="character" w:styleId="IntensiveHervorhebung">
    <w:name w:val="Intense Emphasis"/>
    <w:basedOn w:val="Absatz-Standardschriftart"/>
    <w:uiPriority w:val="21"/>
    <w:qFormat/>
    <w:rPr>
      <w:i w:val="0"/>
      <w:iCs/>
      <w:color w:val="auto"/>
    </w:rPr>
  </w:style>
  <w:style w:type="paragraph" w:styleId="Zitat">
    <w:name w:val="Quote"/>
    <w:basedOn w:val="Standard"/>
    <w:next w:val="Standard"/>
    <w:link w:val="ZitatZchn"/>
    <w:uiPriority w:val="29"/>
    <w:qFormat/>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Pr>
      <w:rFonts w:ascii="Berlin Type Office" w:hAnsi="Berlin Type Office"/>
      <w:iCs/>
      <w:color w:val="404040" w:themeColor="text1" w:themeTint="BF"/>
      <w:sz w:val="24"/>
    </w:rPr>
  </w:style>
  <w:style w:type="paragraph" w:styleId="IntensivesZitat">
    <w:name w:val="Intense Quote"/>
    <w:basedOn w:val="Standard"/>
    <w:next w:val="Standard"/>
    <w:link w:val="IntensivesZitatZchn"/>
    <w:uiPriority w:val="30"/>
    <w:qFormat/>
    <w:pPr>
      <w:spacing w:before="360" w:after="360"/>
      <w:ind w:left="864" w:right="864"/>
      <w:jc w:val="center"/>
    </w:pPr>
    <w:rPr>
      <w:iCs/>
    </w:rPr>
  </w:style>
  <w:style w:type="character" w:customStyle="1" w:styleId="IntensivesZitatZchn">
    <w:name w:val="Intensives Zitat Zchn"/>
    <w:basedOn w:val="Absatz-Standardschriftart"/>
    <w:link w:val="IntensivesZitat"/>
    <w:uiPriority w:val="30"/>
    <w:rPr>
      <w:rFonts w:ascii="Berlin Type Office" w:hAnsi="Berlin Type Office"/>
      <w:iCs/>
      <w:sz w:val="24"/>
    </w:rPr>
  </w:style>
  <w:style w:type="character" w:styleId="IntensiverVerweis">
    <w:name w:val="Intense Reference"/>
    <w:basedOn w:val="Absatz-Standardschriftart"/>
    <w:uiPriority w:val="32"/>
    <w:qFormat/>
    <w:rPr>
      <w:b/>
      <w:bCs/>
      <w:i w:val="0"/>
      <w:smallCaps/>
      <w:color w:val="auto"/>
      <w:spacing w:val="5"/>
    </w:rPr>
  </w:style>
  <w:style w:type="character" w:styleId="Buchtitel">
    <w:name w:val="Book Title"/>
    <w:basedOn w:val="Absatz-Standardschriftart"/>
    <w:uiPriority w:val="33"/>
    <w:qFormat/>
    <w:rPr>
      <w:b/>
      <w:bCs/>
      <w:i w:val="0"/>
      <w:iCs/>
      <w:spacing w:val="5"/>
    </w:rPr>
  </w:style>
  <w:style w:type="paragraph" w:styleId="KeinLeerraum">
    <w:name w:val="No Spacing"/>
    <w:basedOn w:val="Standard"/>
    <w:uiPriority w:val="1"/>
    <w:qFormat/>
    <w:pPr>
      <w:suppressAutoHyphens w:val="0"/>
      <w:spacing w:line="240" w:lineRule="auto"/>
    </w:pPr>
    <w:rPr>
      <w:rFonts w:eastAsia="Arial" w:cs="Times New Roman"/>
      <w:szCs w:val="24"/>
    </w:rPr>
  </w:style>
  <w:style w:type="character" w:styleId="BesuchterLink">
    <w:name w:val="FollowedHyperlink"/>
    <w:basedOn w:val="Absatz-Standardschriftart"/>
    <w:uiPriority w:val="99"/>
    <w:semiHidden/>
    <w:unhideWhenUsed/>
    <w:rPr>
      <w:color w:val="800080" w:themeColor="followedHyperlink"/>
      <w:u w:val="single"/>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Berlin Type Office" w:hAnsi="Berlin Type Office"/>
      <w:sz w:val="24"/>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Berlin Type Office" w:hAnsi="Berlin Type Offic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7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de/hpr/wissenswertes/beteiligung-in-it-verfahren/" TargetMode="External"/><Relationship Id="rId13" Type="http://schemas.openxmlformats.org/officeDocument/2006/relationships/hyperlink" Target="https://b-intern.de/themen/digitalisierung/landesbeauftragte-fuer-digitale-barrierefreihe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vp@hvp.berlin.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enschutz-berlin.de/themen/behoerden/standardprozes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intern.de/themen/digitalisierung/informations-und-kommunikationstechnik/fachverfahr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31F3F-5CEE-4D9C-869C-A596B031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1367</Words>
  <Characters>8613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Senatsverwaltung für Finanzen</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Wettstein, Anne</dc:creator>
  <cp:keywords/>
  <dc:description/>
  <cp:lastModifiedBy>Günther, Stephanie</cp:lastModifiedBy>
  <cp:revision>8</cp:revision>
  <dcterms:created xsi:type="dcterms:W3CDTF">2024-04-29T13:21:00Z</dcterms:created>
  <dcterms:modified xsi:type="dcterms:W3CDTF">2026-06-05T12:02:00Z</dcterms:modified>
</cp:coreProperties>
</file>