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sz w:val="32"/>
          <w:szCs w:val="32"/>
        </w:rPr>
      </w:pPr>
      <w:r>
        <w:rPr>
          <w:sz w:val="32"/>
          <w:szCs w:val="32"/>
        </w:rPr>
        <w:t xml:space="preserve">Honorarmittel aus dem Berliner Autorenlesefonds 2026 für Bibliotheken und Schulen in Marzahn-Hellersdorf </w:t>
      </w:r>
      <w:r>
        <w:rPr>
          <w:sz w:val="32"/>
          <w:szCs w:val="32"/>
        </w:rPr>
        <w:br/>
      </w:r>
    </w:p>
    <w:p>
      <w:pPr>
        <w:shd w:val="clear" w:color="auto" w:fill="FFFFFF"/>
        <w:spacing w:after="100" w:afterAutospacing="1" w:line="312" w:lineRule="atLeast"/>
        <w:rPr>
          <w:color w:val="000000"/>
        </w:rPr>
      </w:pPr>
      <w:r>
        <w:rPr>
          <w:color w:val="000000"/>
        </w:rPr>
        <w:t>Die Senatskanzlei Kulturelle Angelegenheiten stellt den Berliner Bezirken im Jahr 2026 Mittel für Lesungshonorare von professionellen Autorinnen und Autoren bzw. Buchillustratorinnen und Buchillustratoren mit Hauptwohnsitz in Berlin zur Verfügung.                             Als professionell können Autorinnen und Autoren bzw. Buchillustratorinnen und Buchillustratoren gelten, wenn sie eine der nachfolgenden Bedingungen erfüllen:                                    - Eine (nicht selbstfinanzierte) Buchveröffentlichung                                                                                - Eine Sendung oder Aufführung eines Hör- oder Fernsehspiels, Theaterstücks oder Films                                 - Mehrere Veröffentlichungen in literarischen Anthologien, Literaturzeitschriften,     elektronischen Medien und Feuilletons, entsprechende Veröffentlichungen als literarische Übersetzerin oder Übersetzer</w:t>
      </w:r>
    </w:p>
    <w:p>
      <w:pPr>
        <w:shd w:val="clear" w:color="auto" w:fill="FFFFFF"/>
        <w:spacing w:after="100" w:afterAutospacing="1" w:line="312" w:lineRule="atLeast"/>
        <w:rPr>
          <w:color w:val="000000"/>
        </w:rPr>
      </w:pPr>
      <w:r>
        <w:rPr>
          <w:color w:val="000000"/>
        </w:rPr>
        <w:t xml:space="preserve"> Für jeden Berliner Bezirk sind Lesungshonorare zu je 500,00 € vorgesehen. Diese Honorarmittel können ausschließlich die nachfolgend genannten Einrichtungen erhalten:         - Die Berliner Bezirks- und Stadtbibliotheken sowie die öffentlichen Berliner Schulen                        - Privatschulen und der Öffentlichkeit zugängliche private Bibliotheken sowie die ZLB</w:t>
      </w:r>
    </w:p>
    <w:p>
      <w:pPr>
        <w:pStyle w:val="c3"/>
        <w:shd w:val="clear" w:color="auto" w:fill="FFFFFF"/>
        <w:rPr>
          <w:b/>
          <w:sz w:val="36"/>
          <w:szCs w:val="36"/>
        </w:rPr>
      </w:pPr>
      <w:r>
        <w:rPr>
          <w:b/>
          <w:sz w:val="36"/>
          <w:szCs w:val="36"/>
        </w:rPr>
        <w:t>Förderrichtlinien (Auszug)</w:t>
      </w:r>
    </w:p>
    <w:p>
      <w:pPr>
        <w:shd w:val="clear" w:color="auto" w:fill="FFFFFF"/>
        <w:spacing w:after="48"/>
        <w:ind w:right="432"/>
      </w:pPr>
      <w:r>
        <w:t xml:space="preserve">Die Förderung ist begrenzt auf ein Honorar von </w:t>
      </w:r>
      <w:r>
        <w:rPr>
          <w:rStyle w:val="Fett"/>
        </w:rPr>
        <w:t xml:space="preserve">500,00 € pro Autorin /Autor bzw. </w:t>
      </w:r>
      <w:r>
        <w:rPr>
          <w:b/>
          <w:color w:val="000000"/>
        </w:rPr>
        <w:t>Buchillustratorinnen und Buchillustratoren</w:t>
      </w:r>
      <w:r>
        <w:t xml:space="preserve"> bei einer 45-minütigen Veranstaltung inklusive eines einleitenden oder nachbereitenden Gesprächs.</w:t>
      </w:r>
    </w:p>
    <w:p>
      <w:pPr>
        <w:shd w:val="clear" w:color="auto" w:fill="FFFFFF"/>
        <w:spacing w:after="48"/>
        <w:ind w:right="432"/>
        <w:rPr>
          <w:b/>
        </w:rPr>
      </w:pPr>
    </w:p>
    <w:p>
      <w:pPr>
        <w:shd w:val="clear" w:color="auto" w:fill="FFFFFF"/>
        <w:spacing w:after="48"/>
        <w:ind w:right="432"/>
      </w:pPr>
      <w:r>
        <w:t>Sollten mehrere Autorinnen und Autoren bei einer 45-minütigen Veranstaltung lesen, wird der Betrag auf die Autorinnen und Autoren aufgeteilt.</w:t>
      </w:r>
    </w:p>
    <w:p>
      <w:pPr>
        <w:shd w:val="clear" w:color="auto" w:fill="FFFFFF"/>
        <w:spacing w:after="48"/>
        <w:ind w:right="432"/>
      </w:pPr>
      <w:r>
        <w:t xml:space="preserve">Wenn eine Veranstaltung mit mehreren Autorinnen und Autoren länger als 45 Minuten dauert, kann die Honorarhöhe von 500,00 € pro Autorin / Autor beibehalten werden, sofern der Beitrag der einzelnen Autorinnen und Autoren einer 45-minütigen Lesung </w:t>
      </w:r>
      <w:proofErr w:type="gramStart"/>
      <w:r>
        <w:t>entspricht</w:t>
      </w:r>
      <w:proofErr w:type="gramEnd"/>
      <w:r>
        <w:t>.</w:t>
      </w:r>
    </w:p>
    <w:p>
      <w:pPr>
        <w:shd w:val="clear" w:color="auto" w:fill="FFFFFF"/>
        <w:spacing w:after="48"/>
        <w:ind w:right="432"/>
      </w:pPr>
    </w:p>
    <w:p>
      <w:pPr>
        <w:shd w:val="clear" w:color="auto" w:fill="FFFFFF"/>
        <w:spacing w:after="48"/>
        <w:ind w:right="432"/>
      </w:pPr>
      <w:r>
        <w:t>Das Honorar wird brutto ausgezahlt. Etwaige Beitrags- oder Steuerpflichten sind von der Autorin/dem Autor zu tragen. Es erfolgt eine namentliche Meldung an das zuständige Finanzamt.</w:t>
      </w:r>
    </w:p>
    <w:p>
      <w:pPr>
        <w:shd w:val="clear" w:color="auto" w:fill="FFFFFF"/>
        <w:spacing w:after="48"/>
        <w:ind w:right="432"/>
      </w:pPr>
      <w:r>
        <w:t>Reisekosten werden nicht ersetzt.</w:t>
      </w:r>
    </w:p>
    <w:p>
      <w:pPr>
        <w:shd w:val="clear" w:color="auto" w:fill="FFFFFF"/>
        <w:spacing w:after="48"/>
        <w:ind w:right="432"/>
      </w:pPr>
    </w:p>
    <w:p>
      <w:pPr>
        <w:shd w:val="clear" w:color="auto" w:fill="FFFFFF"/>
        <w:spacing w:after="48"/>
        <w:ind w:right="432"/>
      </w:pPr>
      <w:r>
        <w:t xml:space="preserve">Die Mindestteilnehmerzahl/Besucherzahl beträgt: </w:t>
      </w:r>
      <w:r>
        <w:rPr>
          <w:b/>
        </w:rPr>
        <w:t>15</w:t>
      </w:r>
    </w:p>
    <w:p>
      <w:pPr>
        <w:shd w:val="clear" w:color="auto" w:fill="FFFFFF"/>
        <w:spacing w:after="48"/>
        <w:ind w:left="72" w:right="432"/>
      </w:pPr>
    </w:p>
    <w:p>
      <w:pPr>
        <w:shd w:val="clear" w:color="auto" w:fill="FFFFFF"/>
        <w:spacing w:after="48"/>
        <w:ind w:right="432"/>
      </w:pPr>
      <w:r>
        <w:t xml:space="preserve">Die lesenden Autorinnen und Autoren müssen in einer Anlage zum Honorarvertrag versichern, dass höchstens </w:t>
      </w:r>
      <w:r>
        <w:rPr>
          <w:b/>
        </w:rPr>
        <w:t>sechs</w:t>
      </w:r>
      <w:r>
        <w:t xml:space="preserve"> ihrer Lesungen im Jahr 2026 vom Berliner Autorenlesefonds gefördert werden. Jeder Antragsteller kann maximal </w:t>
      </w:r>
      <w:r>
        <w:rPr>
          <w:b/>
        </w:rPr>
        <w:t>12</w:t>
      </w:r>
      <w:r>
        <w:t xml:space="preserve"> Lesungen zugewiesen bekommen.</w:t>
      </w:r>
    </w:p>
    <w:p>
      <w:pPr>
        <w:shd w:val="clear" w:color="auto" w:fill="FFFFFF"/>
        <w:spacing w:after="48"/>
        <w:ind w:right="432"/>
      </w:pPr>
      <w:r>
        <w:t>Ein Nachweis von Publikationen ist dem Antrag beizufügen oder im Antrag zu benennen.</w:t>
      </w:r>
      <w:r>
        <w:br/>
      </w:r>
    </w:p>
    <w:p>
      <w:pPr>
        <w:shd w:val="clear" w:color="auto" w:fill="FFFFFF"/>
        <w:spacing w:after="48"/>
        <w:ind w:right="432"/>
      </w:pPr>
      <w:r>
        <w:lastRenderedPageBreak/>
        <w:t>Bei öffentlichen Veranstaltungen muss innerhalb der Werbemaßnahmen (Internet/Plakate, Einladungen) ein Hinweis auf die Förderung durch den Berliner Autorenlesefonds/Senatskanzlei - Kulturelle Angelegenheiten - erfolgen.</w:t>
      </w:r>
    </w:p>
    <w:p>
      <w:pPr>
        <w:shd w:val="clear" w:color="auto" w:fill="FFFFFF"/>
        <w:spacing w:after="48"/>
        <w:ind w:right="432"/>
      </w:pPr>
    </w:p>
    <w:p>
      <w:pPr>
        <w:shd w:val="clear" w:color="auto" w:fill="FFFFFF"/>
        <w:spacing w:after="48"/>
        <w:ind w:right="432"/>
        <w:rPr>
          <w:b/>
        </w:rPr>
      </w:pPr>
      <w:r>
        <w:rPr>
          <w:b/>
        </w:rPr>
        <w:t>Gefördert wird – bei Erfüllung der Fördervoraussetzungen – grundsätzlich gemäß der Reihenfolge des Eingangs der Anträge.</w:t>
      </w:r>
    </w:p>
    <w:p>
      <w:pPr>
        <w:shd w:val="clear" w:color="auto" w:fill="FFFFFF"/>
        <w:spacing w:after="48"/>
        <w:ind w:right="432"/>
        <w:rPr>
          <w:b/>
        </w:rPr>
      </w:pPr>
    </w:p>
    <w:p>
      <w:pPr>
        <w:shd w:val="clear" w:color="auto" w:fill="FFFFFF"/>
        <w:spacing w:after="48"/>
        <w:ind w:right="432"/>
        <w:rPr>
          <w:b/>
        </w:rPr>
      </w:pPr>
      <w:r>
        <w:rPr>
          <w:b/>
        </w:rPr>
        <w:t>Alle Veranstaltungen können bis zum 30.11.2026 stattfinden.</w:t>
      </w:r>
    </w:p>
    <w:p>
      <w:pPr>
        <w:shd w:val="clear" w:color="auto" w:fill="FFFFFF"/>
        <w:spacing w:after="48"/>
        <w:ind w:right="432"/>
        <w:rPr>
          <w:b/>
        </w:rPr>
      </w:pPr>
      <w:r>
        <w:rPr>
          <w:b/>
        </w:rPr>
        <w:t>Der Kassenschluss wird auf den 02.12.2026 festgelegt.</w:t>
      </w:r>
    </w:p>
    <w:p>
      <w:pPr>
        <w:shd w:val="clear" w:color="auto" w:fill="FFFFFF"/>
        <w:spacing w:after="48"/>
        <w:ind w:right="432"/>
      </w:pPr>
    </w:p>
    <w:p>
      <w:pPr>
        <w:shd w:val="clear" w:color="auto" w:fill="FFFFFF"/>
        <w:spacing w:after="48"/>
        <w:ind w:right="432"/>
      </w:pPr>
    </w:p>
    <w:p>
      <w:pPr>
        <w:shd w:val="clear" w:color="auto" w:fill="FFFFFF"/>
        <w:spacing w:after="48"/>
        <w:ind w:right="432"/>
      </w:pPr>
    </w:p>
    <w:p>
      <w:pPr>
        <w:shd w:val="clear" w:color="auto" w:fill="FFFFFF"/>
        <w:spacing w:after="48"/>
        <w:ind w:right="432"/>
      </w:pPr>
    </w:p>
    <w:p>
      <w:pPr>
        <w:shd w:val="clear" w:color="auto" w:fill="FFFFFF"/>
        <w:spacing w:after="48"/>
        <w:ind w:right="432"/>
        <w:rPr>
          <w:rStyle w:val="Fett"/>
          <w:sz w:val="32"/>
          <w:szCs w:val="32"/>
        </w:rPr>
      </w:pPr>
      <w:r>
        <w:rPr>
          <w:rStyle w:val="Fett"/>
          <w:sz w:val="32"/>
          <w:szCs w:val="32"/>
        </w:rPr>
        <w:t>Einreichung der Anträge an:</w:t>
      </w:r>
    </w:p>
    <w:p>
      <w:pPr>
        <w:shd w:val="clear" w:color="auto" w:fill="FFFFFF"/>
        <w:spacing w:after="48"/>
        <w:ind w:right="432"/>
        <w:rPr>
          <w:rStyle w:val="Fett"/>
          <w:sz w:val="32"/>
          <w:szCs w:val="32"/>
        </w:rPr>
      </w:pPr>
    </w:p>
    <w:p>
      <w:pPr>
        <w:rPr>
          <w:b/>
        </w:rPr>
      </w:pPr>
      <w:r>
        <w:rPr>
          <w:b/>
        </w:rPr>
        <w:t>Bibliothek „Heinrich von Kleist“</w:t>
      </w:r>
    </w:p>
    <w:p>
      <w:pPr>
        <w:rPr>
          <w:b/>
          <w:lang w:val="en-US"/>
        </w:rPr>
      </w:pPr>
      <w:r>
        <w:rPr>
          <w:b/>
        </w:rPr>
        <w:t xml:space="preserve">zu Hd. </w:t>
      </w:r>
      <w:r>
        <w:rPr>
          <w:b/>
          <w:lang w:val="en-US"/>
        </w:rPr>
        <w:t>Marina Georgi</w:t>
      </w:r>
    </w:p>
    <w:p>
      <w:pPr>
        <w:rPr>
          <w:b/>
          <w:lang w:val="en-GB"/>
        </w:rPr>
      </w:pPr>
      <w:proofErr w:type="spellStart"/>
      <w:r>
        <w:rPr>
          <w:b/>
          <w:lang w:val="en-GB"/>
        </w:rPr>
        <w:t>Havemannstr</w:t>
      </w:r>
      <w:proofErr w:type="spellEnd"/>
      <w:r>
        <w:rPr>
          <w:b/>
          <w:lang w:val="en-GB"/>
        </w:rPr>
        <w:t xml:space="preserve">. 17b, 12689 </w:t>
      </w:r>
      <w:smartTag w:uri="urn:schemas-microsoft-com:office:smarttags" w:element="place">
        <w:smartTag w:uri="urn:schemas-microsoft-com:office:smarttags" w:element="State">
          <w:r>
            <w:rPr>
              <w:b/>
              <w:lang w:val="en-GB"/>
            </w:rPr>
            <w:t>Berlin</w:t>
          </w:r>
        </w:smartTag>
      </w:smartTag>
    </w:p>
    <w:p>
      <w:pPr>
        <w:rPr>
          <w:b/>
          <w:lang w:val="en-GB"/>
        </w:rPr>
      </w:pPr>
      <w:r>
        <w:rPr>
          <w:b/>
          <w:lang w:val="en-GB"/>
        </w:rPr>
        <w:t>Tel. 030/93 393 80</w:t>
      </w:r>
    </w:p>
    <w:p>
      <w:pPr>
        <w:rPr>
          <w:b/>
          <w:lang w:val="en-GB"/>
        </w:rPr>
      </w:pPr>
      <w:r>
        <w:rPr>
          <w:b/>
          <w:lang w:val="en-GB"/>
        </w:rPr>
        <w:t>Mail: marina.georgi@ba-mh.berlin.de</w:t>
      </w:r>
    </w:p>
    <w:p>
      <w:pPr>
        <w:shd w:val="clear" w:color="auto" w:fill="FFFFFF"/>
        <w:spacing w:after="48"/>
        <w:ind w:right="432"/>
        <w:rPr>
          <w:rStyle w:val="Fett"/>
          <w:b w:val="0"/>
          <w:bCs w:val="0"/>
        </w:rPr>
      </w:pPr>
    </w:p>
    <w:p>
      <w:pPr>
        <w:shd w:val="clear" w:color="auto" w:fill="FFFFFF"/>
        <w:spacing w:after="48"/>
        <w:ind w:right="432"/>
        <w:rPr>
          <w:rStyle w:val="Fett"/>
        </w:rPr>
      </w:pPr>
    </w:p>
    <w:p>
      <w:pPr>
        <w:shd w:val="clear" w:color="auto" w:fill="FFFFFF"/>
        <w:spacing w:after="48"/>
        <w:ind w:right="432"/>
        <w:rPr>
          <w:b/>
        </w:rPr>
      </w:pPr>
      <w:r>
        <w:rPr>
          <w:b/>
        </w:rPr>
        <w:t>Nur vollständig eingereichte Anträge werden bearbeitet. Zur Vollständigkeit gehören:</w:t>
      </w:r>
    </w:p>
    <w:p>
      <w:pPr>
        <w:numPr>
          <w:ilvl w:val="0"/>
          <w:numId w:val="3"/>
        </w:numPr>
        <w:shd w:val="clear" w:color="auto" w:fill="FFFFFF"/>
        <w:spacing w:after="48"/>
        <w:ind w:right="432"/>
      </w:pPr>
      <w:r>
        <w:t>2 vollständig ausgefüllte Anträge je Veranstaltung</w:t>
      </w:r>
    </w:p>
    <w:p>
      <w:pPr>
        <w:numPr>
          <w:ilvl w:val="0"/>
          <w:numId w:val="3"/>
        </w:numPr>
        <w:shd w:val="clear" w:color="auto" w:fill="FFFFFF"/>
        <w:spacing w:after="48"/>
        <w:ind w:right="432"/>
      </w:pPr>
      <w:r>
        <w:t xml:space="preserve">1 vollständig ausgefüllter Honorarvertrag mit Erklärung, nicht mehr als 6 Honorare über den Autorenlesefonds in 2026 in Anspruch genommen zu haben    </w:t>
      </w:r>
    </w:p>
    <w:p>
      <w:pPr>
        <w:shd w:val="clear" w:color="auto" w:fill="FFFFFF"/>
        <w:spacing w:after="48"/>
        <w:ind w:left="432" w:right="432"/>
      </w:pPr>
      <w:r>
        <w:t xml:space="preserve">(Der Honorarvertrag ist noch nicht vom Autor/Autorin unterschrieben. Bankdaten dürfen noch fehlen. Vertrag wird nach Zusage vervollständigt.) </w:t>
      </w:r>
    </w:p>
    <w:p>
      <w:pPr>
        <w:numPr>
          <w:ilvl w:val="0"/>
          <w:numId w:val="3"/>
        </w:numPr>
        <w:shd w:val="clear" w:color="auto" w:fill="FFFFFF"/>
        <w:spacing w:after="48"/>
        <w:ind w:right="432"/>
      </w:pPr>
      <w:r>
        <w:t>Nachweis von Publikationen der Autorin/des Autors (Ausdruck Buchcover etc.,)</w:t>
      </w:r>
    </w:p>
    <w:p>
      <w:pPr>
        <w:shd w:val="clear" w:color="auto" w:fill="FFFFFF"/>
        <w:spacing w:after="48"/>
        <w:ind w:left="432" w:right="432"/>
      </w:pPr>
    </w:p>
    <w:p>
      <w:pPr>
        <w:shd w:val="clear" w:color="auto" w:fill="FFFFFF"/>
        <w:spacing w:after="48"/>
        <w:ind w:left="432" w:right="432"/>
      </w:pPr>
    </w:p>
    <w:p>
      <w:pPr>
        <w:shd w:val="clear" w:color="auto" w:fill="FFFFFF"/>
        <w:spacing w:after="48"/>
        <w:ind w:right="432"/>
      </w:pPr>
    </w:p>
    <w:p>
      <w:pPr>
        <w:pStyle w:val="Default"/>
        <w:rPr>
          <w:rFonts w:ascii="Times New Roman" w:hAnsi="Times New Roman" w:cs="Times New Roman"/>
          <w:b/>
          <w:sz w:val="23"/>
          <w:szCs w:val="23"/>
        </w:rPr>
      </w:pPr>
      <w:r>
        <w:rPr>
          <w:rFonts w:ascii="Times New Roman" w:hAnsi="Times New Roman" w:cs="Times New Roman"/>
          <w:b/>
          <w:sz w:val="23"/>
          <w:szCs w:val="23"/>
        </w:rPr>
        <w:t>Weitere Verfahrensweise für Antragsteller nach der Prüfung des Antrages:</w:t>
      </w:r>
    </w:p>
    <w:p>
      <w:pPr>
        <w:pStyle w:val="Default"/>
        <w:numPr>
          <w:ilvl w:val="0"/>
          <w:numId w:val="3"/>
        </w:numPr>
        <w:rPr>
          <w:rFonts w:ascii="Times New Roman" w:hAnsi="Times New Roman" w:cs="Times New Roman"/>
          <w:sz w:val="23"/>
          <w:szCs w:val="23"/>
        </w:rPr>
      </w:pPr>
      <w:r>
        <w:rPr>
          <w:rFonts w:ascii="Times New Roman" w:hAnsi="Times New Roman" w:cs="Times New Roman"/>
          <w:sz w:val="23"/>
          <w:szCs w:val="23"/>
        </w:rPr>
        <w:t xml:space="preserve">Die vergebene Bearbeiter-Nummer bitte auf jeden Honorarvertrag </w:t>
      </w:r>
      <w:proofErr w:type="gramStart"/>
      <w:r>
        <w:rPr>
          <w:rFonts w:ascii="Times New Roman" w:hAnsi="Times New Roman" w:cs="Times New Roman"/>
          <w:sz w:val="23"/>
          <w:szCs w:val="23"/>
        </w:rPr>
        <w:t>vermerken</w:t>
      </w:r>
      <w:proofErr w:type="gramEnd"/>
      <w:r>
        <w:rPr>
          <w:rFonts w:ascii="Times New Roman" w:hAnsi="Times New Roman" w:cs="Times New Roman"/>
          <w:sz w:val="23"/>
          <w:szCs w:val="23"/>
        </w:rPr>
        <w:t xml:space="preserve"> und bei der Abrechnung benennen!</w:t>
      </w:r>
    </w:p>
    <w:p>
      <w:pPr>
        <w:pStyle w:val="Default"/>
        <w:numPr>
          <w:ilvl w:val="0"/>
          <w:numId w:val="3"/>
        </w:numPr>
        <w:rPr>
          <w:rFonts w:ascii="Times New Roman" w:hAnsi="Times New Roman" w:cs="Times New Roman"/>
          <w:sz w:val="23"/>
          <w:szCs w:val="23"/>
        </w:rPr>
      </w:pPr>
      <w:r>
        <w:rPr>
          <w:rFonts w:ascii="Times New Roman" w:hAnsi="Times New Roman" w:cs="Times New Roman"/>
          <w:sz w:val="23"/>
          <w:szCs w:val="23"/>
        </w:rPr>
        <w:t xml:space="preserve">Drei beim Antragsteller verbliebenen Honorarverträge mit Erklärung werden vom Veranstalter unterschrieben. </w:t>
      </w:r>
    </w:p>
    <w:p>
      <w:pPr>
        <w:pStyle w:val="Default"/>
        <w:numPr>
          <w:ilvl w:val="0"/>
          <w:numId w:val="3"/>
        </w:numPr>
        <w:rPr>
          <w:rFonts w:ascii="Times New Roman" w:hAnsi="Times New Roman" w:cs="Times New Roman"/>
          <w:sz w:val="23"/>
          <w:szCs w:val="23"/>
        </w:rPr>
      </w:pPr>
      <w:r>
        <w:rPr>
          <w:rFonts w:ascii="Times New Roman" w:hAnsi="Times New Roman" w:cs="Times New Roman"/>
          <w:sz w:val="23"/>
          <w:szCs w:val="23"/>
        </w:rPr>
        <w:t>Ein Honorarvertrag mit Erklärung bleibt als Ersatz beim Antragsteller, zwei Honorarverträge mit Erklärung werden jetzt an die Autorin/den Autor zur Unterschrift versandt.</w:t>
      </w:r>
    </w:p>
    <w:p>
      <w:pPr>
        <w:pStyle w:val="Default"/>
        <w:numPr>
          <w:ilvl w:val="0"/>
          <w:numId w:val="3"/>
        </w:numPr>
        <w:rPr>
          <w:rFonts w:ascii="Times New Roman" w:hAnsi="Times New Roman" w:cs="Times New Roman"/>
          <w:sz w:val="23"/>
          <w:szCs w:val="23"/>
        </w:rPr>
      </w:pPr>
      <w:r>
        <w:rPr>
          <w:rFonts w:ascii="Times New Roman" w:hAnsi="Times New Roman" w:cs="Times New Roman"/>
          <w:sz w:val="23"/>
          <w:szCs w:val="23"/>
        </w:rPr>
        <w:t>Die Autorin/der Autor schickt dem Antragsteller einen Honorarvertrag mit Erklärung vollständig ausgefüllt mit Bankdaten und unterschrieben zurück.</w:t>
      </w:r>
    </w:p>
    <w:p>
      <w:pPr>
        <w:pStyle w:val="Default"/>
        <w:rPr>
          <w:rFonts w:ascii="Times New Roman" w:hAnsi="Times New Roman" w:cs="Times New Roman"/>
          <w:sz w:val="23"/>
          <w:szCs w:val="23"/>
        </w:rPr>
      </w:pPr>
    </w:p>
    <w:p>
      <w:pPr>
        <w:pStyle w:val="Default"/>
        <w:rPr>
          <w:rFonts w:ascii="Times New Roman" w:hAnsi="Times New Roman" w:cs="Times New Roman"/>
          <w:sz w:val="23"/>
          <w:szCs w:val="23"/>
        </w:rPr>
      </w:pPr>
    </w:p>
    <w:p>
      <w:pPr>
        <w:pStyle w:val="Default"/>
        <w:rPr>
          <w:rFonts w:ascii="Times New Roman" w:hAnsi="Times New Roman" w:cs="Times New Roman"/>
          <w:sz w:val="23"/>
          <w:szCs w:val="23"/>
        </w:rPr>
      </w:pPr>
    </w:p>
    <w:p/>
    <w:p/>
    <w:p>
      <w:pPr>
        <w:rPr>
          <w:b/>
          <w:sz w:val="32"/>
          <w:szCs w:val="32"/>
        </w:rPr>
      </w:pPr>
      <w:r>
        <w:rPr>
          <w:b/>
          <w:sz w:val="32"/>
          <w:szCs w:val="32"/>
        </w:rPr>
        <w:lastRenderedPageBreak/>
        <w:t>Abrechnung der Anträge an:</w:t>
      </w:r>
    </w:p>
    <w:p/>
    <w:p>
      <w:pPr>
        <w:rPr>
          <w:b/>
        </w:rPr>
      </w:pPr>
      <w:r>
        <w:rPr>
          <w:b/>
        </w:rPr>
        <w:t>Bibliothek „Heinrich von Kleist“</w:t>
      </w:r>
    </w:p>
    <w:p>
      <w:pPr>
        <w:rPr>
          <w:b/>
          <w:lang w:val="en-US"/>
        </w:rPr>
      </w:pPr>
      <w:r>
        <w:rPr>
          <w:b/>
        </w:rPr>
        <w:t xml:space="preserve">zu Hd. </w:t>
      </w:r>
      <w:r>
        <w:rPr>
          <w:b/>
          <w:lang w:val="en-US"/>
        </w:rPr>
        <w:t>Marina Georgi</w:t>
      </w:r>
    </w:p>
    <w:p>
      <w:pPr>
        <w:rPr>
          <w:b/>
          <w:lang w:val="en-GB"/>
        </w:rPr>
      </w:pPr>
      <w:proofErr w:type="spellStart"/>
      <w:r>
        <w:rPr>
          <w:b/>
          <w:lang w:val="en-GB"/>
        </w:rPr>
        <w:t>Havemannstr</w:t>
      </w:r>
      <w:proofErr w:type="spellEnd"/>
      <w:r>
        <w:rPr>
          <w:b/>
          <w:lang w:val="en-GB"/>
        </w:rPr>
        <w:t xml:space="preserve">. 17b, 12689 </w:t>
      </w:r>
      <w:smartTag w:uri="urn:schemas-microsoft-com:office:smarttags" w:element="place">
        <w:smartTag w:uri="urn:schemas-microsoft-com:office:smarttags" w:element="State">
          <w:r>
            <w:rPr>
              <w:b/>
              <w:lang w:val="en-GB"/>
            </w:rPr>
            <w:t>Berlin</w:t>
          </w:r>
        </w:smartTag>
      </w:smartTag>
    </w:p>
    <w:p>
      <w:pPr>
        <w:rPr>
          <w:b/>
          <w:lang w:val="en-GB"/>
        </w:rPr>
      </w:pPr>
      <w:r>
        <w:rPr>
          <w:b/>
          <w:lang w:val="en-GB"/>
        </w:rPr>
        <w:t>Tel. 030/93 393 80</w:t>
      </w:r>
    </w:p>
    <w:p>
      <w:pPr>
        <w:rPr>
          <w:b/>
          <w:lang w:val="en-GB"/>
        </w:rPr>
      </w:pPr>
      <w:r>
        <w:rPr>
          <w:b/>
          <w:lang w:val="en-GB"/>
        </w:rPr>
        <w:t>Mail: marina.georgi@ba-mh.berlin.de</w:t>
      </w:r>
    </w:p>
    <w:p>
      <w:pPr>
        <w:rPr>
          <w:b/>
          <w:sz w:val="32"/>
          <w:szCs w:val="32"/>
          <w:lang w:val="en-GB"/>
        </w:rPr>
      </w:pPr>
    </w:p>
    <w:p>
      <w:pPr>
        <w:pStyle w:val="Default"/>
        <w:rPr>
          <w:rFonts w:ascii="Times New Roman" w:hAnsi="Times New Roman" w:cs="Times New Roman"/>
          <w:b/>
          <w:sz w:val="23"/>
          <w:szCs w:val="23"/>
        </w:rPr>
      </w:pPr>
      <w:r>
        <w:rPr>
          <w:rFonts w:ascii="Times New Roman" w:hAnsi="Times New Roman" w:cs="Times New Roman"/>
          <w:b/>
          <w:sz w:val="23"/>
          <w:szCs w:val="23"/>
        </w:rPr>
        <w:t xml:space="preserve">Die Abrechnung muss enthalten: </w:t>
      </w:r>
    </w:p>
    <w:p>
      <w:pPr>
        <w:pStyle w:val="Default"/>
        <w:rPr>
          <w:rFonts w:ascii="Times New Roman" w:hAnsi="Times New Roman" w:cs="Times New Roman"/>
          <w:sz w:val="23"/>
          <w:szCs w:val="23"/>
        </w:rPr>
      </w:pPr>
    </w:p>
    <w:p>
      <w:pPr>
        <w:pStyle w:val="Default"/>
        <w:rPr>
          <w:rFonts w:ascii="Times New Roman" w:hAnsi="Times New Roman" w:cs="Times New Roman"/>
          <w:sz w:val="23"/>
          <w:szCs w:val="23"/>
        </w:rPr>
      </w:pPr>
      <w:r>
        <w:rPr>
          <w:rFonts w:ascii="Times New Roman" w:hAnsi="Times New Roman" w:cs="Times New Roman"/>
          <w:sz w:val="23"/>
          <w:szCs w:val="23"/>
        </w:rPr>
        <w:t xml:space="preserve">1) 1 Original des Honorarvertrages mit einer Erklärung, nicht mehr als </w:t>
      </w:r>
    </w:p>
    <w:p>
      <w:pPr>
        <w:pStyle w:val="Default"/>
        <w:rPr>
          <w:rFonts w:ascii="Times New Roman" w:hAnsi="Times New Roman" w:cs="Times New Roman"/>
          <w:sz w:val="23"/>
          <w:szCs w:val="23"/>
        </w:rPr>
      </w:pPr>
      <w:r>
        <w:rPr>
          <w:rFonts w:ascii="Times New Roman" w:hAnsi="Times New Roman" w:cs="Times New Roman"/>
          <w:sz w:val="23"/>
          <w:szCs w:val="23"/>
        </w:rPr>
        <w:t xml:space="preserve">     6 Honorare im Jahr 2026</w:t>
      </w:r>
      <w:bookmarkStart w:id="0" w:name="_GoBack"/>
      <w:bookmarkEnd w:id="0"/>
      <w:r>
        <w:rPr>
          <w:rFonts w:ascii="Times New Roman" w:hAnsi="Times New Roman" w:cs="Times New Roman"/>
          <w:sz w:val="23"/>
          <w:szCs w:val="23"/>
        </w:rPr>
        <w:t xml:space="preserve"> vom Berliner Autorenlesefonds in Anspruch zu nehmen und allen    </w:t>
      </w:r>
    </w:p>
    <w:p>
      <w:pPr>
        <w:pStyle w:val="Default"/>
        <w:rPr>
          <w:rFonts w:ascii="Times New Roman" w:hAnsi="Times New Roman" w:cs="Times New Roman"/>
          <w:sz w:val="23"/>
          <w:szCs w:val="23"/>
        </w:rPr>
      </w:pPr>
      <w:r>
        <w:rPr>
          <w:rFonts w:ascii="Times New Roman" w:hAnsi="Times New Roman" w:cs="Times New Roman"/>
          <w:sz w:val="23"/>
          <w:szCs w:val="23"/>
        </w:rPr>
        <w:t xml:space="preserve">      Unterschriften</w:t>
      </w:r>
    </w:p>
    <w:p>
      <w:pPr>
        <w:pStyle w:val="Default"/>
        <w:rPr>
          <w:rFonts w:ascii="Times New Roman" w:hAnsi="Times New Roman" w:cs="Times New Roman"/>
          <w:sz w:val="23"/>
          <w:szCs w:val="23"/>
        </w:rPr>
      </w:pPr>
    </w:p>
    <w:p>
      <w:pPr>
        <w:pStyle w:val="Default"/>
        <w:rPr>
          <w:rFonts w:ascii="Times New Roman" w:hAnsi="Times New Roman" w:cs="Times New Roman"/>
          <w:sz w:val="23"/>
          <w:szCs w:val="23"/>
        </w:rPr>
      </w:pPr>
      <w:r>
        <w:rPr>
          <w:rFonts w:ascii="Times New Roman" w:hAnsi="Times New Roman" w:cs="Times New Roman"/>
          <w:sz w:val="23"/>
          <w:szCs w:val="23"/>
        </w:rPr>
        <w:t>2) bei öffentlichen Veranstaltungen: Nachweis der öffentlichen Ankündigung der Veranstaltung</w:t>
      </w:r>
    </w:p>
    <w:p>
      <w:pPr>
        <w:pStyle w:val="Default"/>
        <w:rPr>
          <w:rFonts w:ascii="Times New Roman" w:hAnsi="Times New Roman" w:cs="Times New Roman"/>
          <w:sz w:val="23"/>
          <w:szCs w:val="23"/>
        </w:rPr>
      </w:pPr>
      <w:r>
        <w:rPr>
          <w:rFonts w:ascii="Times New Roman" w:hAnsi="Times New Roman" w:cs="Times New Roman"/>
          <w:sz w:val="23"/>
          <w:szCs w:val="23"/>
        </w:rPr>
        <w:t xml:space="preserve">     (Einladung, Plakate, Presseartikel für Veranstaltung mit Erwachsenen, entfällt bei   </w:t>
      </w:r>
    </w:p>
    <w:p>
      <w:pPr>
        <w:pStyle w:val="Default"/>
        <w:rPr>
          <w:rFonts w:ascii="Times New Roman" w:hAnsi="Times New Roman" w:cs="Times New Roman"/>
          <w:sz w:val="23"/>
          <w:szCs w:val="23"/>
        </w:rPr>
      </w:pPr>
      <w:r>
        <w:rPr>
          <w:rFonts w:ascii="Times New Roman" w:hAnsi="Times New Roman" w:cs="Times New Roman"/>
          <w:sz w:val="23"/>
          <w:szCs w:val="23"/>
        </w:rPr>
        <w:t xml:space="preserve">      Veranstaltungen mit Kindern)</w:t>
      </w:r>
    </w:p>
    <w:p>
      <w:pPr>
        <w:pStyle w:val="Default"/>
        <w:rPr>
          <w:rFonts w:ascii="Times New Roman" w:hAnsi="Times New Roman" w:cs="Times New Roman"/>
          <w:sz w:val="23"/>
          <w:szCs w:val="23"/>
        </w:rPr>
      </w:pPr>
    </w:p>
    <w:p>
      <w:pPr>
        <w:pStyle w:val="Default"/>
        <w:rPr>
          <w:rFonts w:ascii="Times New Roman" w:hAnsi="Times New Roman" w:cs="Times New Roman"/>
          <w:sz w:val="23"/>
          <w:szCs w:val="23"/>
        </w:rPr>
      </w:pPr>
      <w:r>
        <w:rPr>
          <w:rFonts w:ascii="Times New Roman" w:hAnsi="Times New Roman" w:cs="Times New Roman"/>
          <w:sz w:val="23"/>
          <w:szCs w:val="23"/>
        </w:rPr>
        <w:t>3) Angabe: Anzahl der Teilnehmer mit der Angabe ob überwiegend unter 18 Jahren (ja/nein)</w:t>
      </w:r>
    </w:p>
    <w:p>
      <w:pPr>
        <w:pStyle w:val="Default"/>
        <w:rPr>
          <w:rFonts w:ascii="Times New Roman" w:hAnsi="Times New Roman" w:cs="Times New Roman"/>
          <w:sz w:val="23"/>
          <w:szCs w:val="23"/>
        </w:rPr>
      </w:pPr>
      <w:r>
        <w:rPr>
          <w:rFonts w:ascii="Times New Roman" w:hAnsi="Times New Roman" w:cs="Times New Roman"/>
          <w:sz w:val="23"/>
          <w:szCs w:val="23"/>
        </w:rPr>
        <w:t xml:space="preserve">    (Klebezettel mit entsprechender Notiz auf Vertrag reicht)</w:t>
      </w:r>
    </w:p>
    <w:p>
      <w:pPr>
        <w:pStyle w:val="Default"/>
        <w:rPr>
          <w:rFonts w:ascii="Times New Roman" w:hAnsi="Times New Roman" w:cs="Times New Roman"/>
          <w:sz w:val="23"/>
          <w:szCs w:val="23"/>
        </w:rPr>
      </w:pPr>
    </w:p>
    <w:p>
      <w:pPr>
        <w:pStyle w:val="Default"/>
        <w:rPr>
          <w:rFonts w:ascii="Times New Roman" w:hAnsi="Times New Roman" w:cs="Times New Roman"/>
          <w:b/>
          <w:sz w:val="23"/>
          <w:szCs w:val="23"/>
        </w:rPr>
      </w:pPr>
      <w:r>
        <w:rPr>
          <w:rFonts w:ascii="Times New Roman" w:hAnsi="Times New Roman" w:cs="Times New Roman"/>
          <w:b/>
          <w:sz w:val="23"/>
          <w:szCs w:val="23"/>
        </w:rPr>
        <w:t>Die Abrechnung muss bis spätestens  4 Tage nach dem Veranstaltungstermin eingegangen sein (Veranlassung der Überweisung erfolgt von dieser Stelle).</w:t>
      </w: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1872F6"/>
    <w:multiLevelType w:val="hybridMultilevel"/>
    <w:tmpl w:val="2230063E"/>
    <w:lvl w:ilvl="0" w:tplc="E9DC328A">
      <w:numFmt w:val="bullet"/>
      <w:lvlText w:val="-"/>
      <w:lvlJc w:val="left"/>
      <w:pPr>
        <w:tabs>
          <w:tab w:val="num" w:pos="432"/>
        </w:tabs>
        <w:ind w:left="432" w:hanging="360"/>
      </w:pPr>
      <w:rPr>
        <w:rFonts w:ascii="Times New Roman" w:eastAsia="Times New Roman" w:hAnsi="Times New Roman" w:cs="Times New Roman" w:hint="default"/>
      </w:rPr>
    </w:lvl>
    <w:lvl w:ilvl="1" w:tplc="04070003" w:tentative="1">
      <w:start w:val="1"/>
      <w:numFmt w:val="bullet"/>
      <w:lvlText w:val="o"/>
      <w:lvlJc w:val="left"/>
      <w:pPr>
        <w:tabs>
          <w:tab w:val="num" w:pos="1152"/>
        </w:tabs>
        <w:ind w:left="1152" w:hanging="360"/>
      </w:pPr>
      <w:rPr>
        <w:rFonts w:ascii="Courier New" w:hAnsi="Courier New" w:cs="Courier New" w:hint="default"/>
      </w:rPr>
    </w:lvl>
    <w:lvl w:ilvl="2" w:tplc="04070005" w:tentative="1">
      <w:start w:val="1"/>
      <w:numFmt w:val="bullet"/>
      <w:lvlText w:val=""/>
      <w:lvlJc w:val="left"/>
      <w:pPr>
        <w:tabs>
          <w:tab w:val="num" w:pos="1872"/>
        </w:tabs>
        <w:ind w:left="1872" w:hanging="360"/>
      </w:pPr>
      <w:rPr>
        <w:rFonts w:ascii="Wingdings" w:hAnsi="Wingdings" w:hint="default"/>
      </w:rPr>
    </w:lvl>
    <w:lvl w:ilvl="3" w:tplc="04070001" w:tentative="1">
      <w:start w:val="1"/>
      <w:numFmt w:val="bullet"/>
      <w:lvlText w:val=""/>
      <w:lvlJc w:val="left"/>
      <w:pPr>
        <w:tabs>
          <w:tab w:val="num" w:pos="2592"/>
        </w:tabs>
        <w:ind w:left="2592" w:hanging="360"/>
      </w:pPr>
      <w:rPr>
        <w:rFonts w:ascii="Symbol" w:hAnsi="Symbol" w:hint="default"/>
      </w:rPr>
    </w:lvl>
    <w:lvl w:ilvl="4" w:tplc="04070003" w:tentative="1">
      <w:start w:val="1"/>
      <w:numFmt w:val="bullet"/>
      <w:lvlText w:val="o"/>
      <w:lvlJc w:val="left"/>
      <w:pPr>
        <w:tabs>
          <w:tab w:val="num" w:pos="3312"/>
        </w:tabs>
        <w:ind w:left="3312" w:hanging="360"/>
      </w:pPr>
      <w:rPr>
        <w:rFonts w:ascii="Courier New" w:hAnsi="Courier New" w:cs="Courier New" w:hint="default"/>
      </w:rPr>
    </w:lvl>
    <w:lvl w:ilvl="5" w:tplc="04070005" w:tentative="1">
      <w:start w:val="1"/>
      <w:numFmt w:val="bullet"/>
      <w:lvlText w:val=""/>
      <w:lvlJc w:val="left"/>
      <w:pPr>
        <w:tabs>
          <w:tab w:val="num" w:pos="4032"/>
        </w:tabs>
        <w:ind w:left="4032" w:hanging="360"/>
      </w:pPr>
      <w:rPr>
        <w:rFonts w:ascii="Wingdings" w:hAnsi="Wingdings" w:hint="default"/>
      </w:rPr>
    </w:lvl>
    <w:lvl w:ilvl="6" w:tplc="04070001" w:tentative="1">
      <w:start w:val="1"/>
      <w:numFmt w:val="bullet"/>
      <w:lvlText w:val=""/>
      <w:lvlJc w:val="left"/>
      <w:pPr>
        <w:tabs>
          <w:tab w:val="num" w:pos="4752"/>
        </w:tabs>
        <w:ind w:left="4752" w:hanging="360"/>
      </w:pPr>
      <w:rPr>
        <w:rFonts w:ascii="Symbol" w:hAnsi="Symbol" w:hint="default"/>
      </w:rPr>
    </w:lvl>
    <w:lvl w:ilvl="7" w:tplc="04070003" w:tentative="1">
      <w:start w:val="1"/>
      <w:numFmt w:val="bullet"/>
      <w:lvlText w:val="o"/>
      <w:lvlJc w:val="left"/>
      <w:pPr>
        <w:tabs>
          <w:tab w:val="num" w:pos="5472"/>
        </w:tabs>
        <w:ind w:left="5472" w:hanging="360"/>
      </w:pPr>
      <w:rPr>
        <w:rFonts w:ascii="Courier New" w:hAnsi="Courier New" w:cs="Courier New" w:hint="default"/>
      </w:rPr>
    </w:lvl>
    <w:lvl w:ilvl="8" w:tplc="04070005" w:tentative="1">
      <w:start w:val="1"/>
      <w:numFmt w:val="bullet"/>
      <w:lvlText w:val=""/>
      <w:lvlJc w:val="left"/>
      <w:pPr>
        <w:tabs>
          <w:tab w:val="num" w:pos="6192"/>
        </w:tabs>
        <w:ind w:left="6192" w:hanging="360"/>
      </w:pPr>
      <w:rPr>
        <w:rFonts w:ascii="Wingdings" w:hAnsi="Wingdings" w:hint="default"/>
      </w:rPr>
    </w:lvl>
  </w:abstractNum>
  <w:abstractNum w:abstractNumId="1" w15:restartNumberingAfterBreak="0">
    <w:nsid w:val="558B75F2"/>
    <w:multiLevelType w:val="multilevel"/>
    <w:tmpl w:val="26BE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2D1940"/>
    <w:multiLevelType w:val="multilevel"/>
    <w:tmpl w:val="CDB4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50DFF098-B776-4E2B-8C1E-07500671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3">
    <w:name w:val="c3"/>
    <w:basedOn w:val="Standard"/>
    <w:pPr>
      <w:spacing w:before="100" w:beforeAutospacing="1" w:after="100" w:afterAutospacing="1"/>
    </w:pPr>
  </w:style>
  <w:style w:type="paragraph" w:styleId="StandardWeb">
    <w:name w:val="Normal (Web)"/>
    <w:basedOn w:val="Standard"/>
    <w:pPr>
      <w:spacing w:before="100" w:beforeAutospacing="1" w:after="100" w:afterAutospacing="1"/>
    </w:pPr>
  </w:style>
  <w:style w:type="character" w:styleId="Fett">
    <w:name w:val="Strong"/>
    <w:qFormat/>
    <w:rPr>
      <w:b/>
      <w:bCs/>
    </w:rPr>
  </w:style>
  <w:style w:type="character" w:styleId="Hyperlink">
    <w:name w:val="Hyperlink"/>
    <w:rPr>
      <w:color w:val="0000FF"/>
      <w:u w:val="single"/>
    </w:rPr>
  </w:style>
  <w:style w:type="paragraph" w:customStyle="1" w:styleId="Default">
    <w:name w:val="Defaul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902298">
      <w:bodyDiv w:val="1"/>
      <w:marLeft w:val="0"/>
      <w:marRight w:val="0"/>
      <w:marTop w:val="0"/>
      <w:marBottom w:val="0"/>
      <w:divBdr>
        <w:top w:val="none" w:sz="0" w:space="0" w:color="auto"/>
        <w:left w:val="none" w:sz="0" w:space="0" w:color="auto"/>
        <w:bottom w:val="none" w:sz="0" w:space="0" w:color="auto"/>
        <w:right w:val="none" w:sz="0" w:space="0" w:color="auto"/>
      </w:divBdr>
      <w:divsChild>
        <w:div w:id="1896046393">
          <w:marLeft w:val="0"/>
          <w:marRight w:val="0"/>
          <w:marTop w:val="203"/>
          <w:marBottom w:val="0"/>
          <w:divBdr>
            <w:top w:val="none" w:sz="0" w:space="0" w:color="auto"/>
            <w:left w:val="none" w:sz="0" w:space="0" w:color="auto"/>
            <w:bottom w:val="none" w:sz="0" w:space="0" w:color="auto"/>
            <w:right w:val="none" w:sz="0" w:space="0" w:color="auto"/>
          </w:divBdr>
          <w:divsChild>
            <w:div w:id="146840045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330712684">
      <w:bodyDiv w:val="1"/>
      <w:marLeft w:val="0"/>
      <w:marRight w:val="0"/>
      <w:marTop w:val="0"/>
      <w:marBottom w:val="0"/>
      <w:divBdr>
        <w:top w:val="none" w:sz="0" w:space="0" w:color="auto"/>
        <w:left w:val="none" w:sz="0" w:space="0" w:color="auto"/>
        <w:bottom w:val="none" w:sz="0" w:space="0" w:color="auto"/>
        <w:right w:val="none" w:sz="0" w:space="0" w:color="auto"/>
      </w:divBdr>
      <w:divsChild>
        <w:div w:id="1457795307">
          <w:marLeft w:val="0"/>
          <w:marRight w:val="0"/>
          <w:marTop w:val="0"/>
          <w:marBottom w:val="0"/>
          <w:divBdr>
            <w:top w:val="none" w:sz="0" w:space="0" w:color="auto"/>
            <w:left w:val="none" w:sz="0" w:space="0" w:color="auto"/>
            <w:bottom w:val="none" w:sz="0" w:space="0" w:color="auto"/>
            <w:right w:val="none" w:sz="0" w:space="0" w:color="auto"/>
          </w:divBdr>
          <w:divsChild>
            <w:div w:id="402677245">
              <w:marLeft w:val="0"/>
              <w:marRight w:val="0"/>
              <w:marTop w:val="0"/>
              <w:marBottom w:val="0"/>
              <w:divBdr>
                <w:top w:val="none" w:sz="0" w:space="0" w:color="auto"/>
                <w:left w:val="none" w:sz="0" w:space="0" w:color="auto"/>
                <w:bottom w:val="none" w:sz="0" w:space="0" w:color="auto"/>
                <w:right w:val="none" w:sz="0" w:space="0" w:color="auto"/>
              </w:divBdr>
              <w:divsChild>
                <w:div w:id="282731476">
                  <w:marLeft w:val="0"/>
                  <w:marRight w:val="0"/>
                  <w:marTop w:val="0"/>
                  <w:marBottom w:val="0"/>
                  <w:divBdr>
                    <w:top w:val="none" w:sz="0" w:space="0" w:color="auto"/>
                    <w:left w:val="none" w:sz="0" w:space="0" w:color="auto"/>
                    <w:bottom w:val="none" w:sz="0" w:space="0" w:color="auto"/>
                    <w:right w:val="none" w:sz="0" w:space="0" w:color="auto"/>
                  </w:divBdr>
                  <w:divsChild>
                    <w:div w:id="1123230426">
                      <w:marLeft w:val="0"/>
                      <w:marRight w:val="0"/>
                      <w:marTop w:val="0"/>
                      <w:marBottom w:val="0"/>
                      <w:divBdr>
                        <w:top w:val="none" w:sz="0" w:space="0" w:color="auto"/>
                        <w:left w:val="none" w:sz="0" w:space="0" w:color="auto"/>
                        <w:bottom w:val="none" w:sz="0" w:space="0" w:color="auto"/>
                        <w:right w:val="none" w:sz="0" w:space="0" w:color="auto"/>
                      </w:divBdr>
                      <w:divsChild>
                        <w:div w:id="141898821">
                          <w:marLeft w:val="0"/>
                          <w:marRight w:val="0"/>
                          <w:marTop w:val="0"/>
                          <w:marBottom w:val="0"/>
                          <w:divBdr>
                            <w:top w:val="none" w:sz="0" w:space="0" w:color="auto"/>
                            <w:left w:val="none" w:sz="0" w:space="0" w:color="auto"/>
                            <w:bottom w:val="none" w:sz="0" w:space="0" w:color="auto"/>
                            <w:right w:val="none" w:sz="0" w:space="0" w:color="auto"/>
                          </w:divBdr>
                          <w:divsChild>
                            <w:div w:id="434790906">
                              <w:marLeft w:val="0"/>
                              <w:marRight w:val="0"/>
                              <w:marTop w:val="0"/>
                              <w:marBottom w:val="240"/>
                              <w:divBdr>
                                <w:top w:val="none" w:sz="0" w:space="0" w:color="auto"/>
                                <w:left w:val="none" w:sz="0" w:space="0" w:color="auto"/>
                                <w:bottom w:val="none" w:sz="0" w:space="0" w:color="auto"/>
                                <w:right w:val="none" w:sz="0" w:space="0" w:color="auto"/>
                              </w:divBdr>
                              <w:divsChild>
                                <w:div w:id="1855922446">
                                  <w:marLeft w:val="0"/>
                                  <w:marRight w:val="0"/>
                                  <w:marTop w:val="240"/>
                                  <w:marBottom w:val="0"/>
                                  <w:divBdr>
                                    <w:top w:val="none" w:sz="0" w:space="0" w:color="auto"/>
                                    <w:left w:val="none" w:sz="0" w:space="0" w:color="auto"/>
                                    <w:bottom w:val="none" w:sz="0" w:space="0" w:color="auto"/>
                                    <w:right w:val="none" w:sz="0" w:space="0" w:color="auto"/>
                                  </w:divBdr>
                                  <w:divsChild>
                                    <w:div w:id="3342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24491">
                              <w:marLeft w:val="0"/>
                              <w:marRight w:val="0"/>
                              <w:marTop w:val="0"/>
                              <w:marBottom w:val="480"/>
                              <w:divBdr>
                                <w:top w:val="none" w:sz="0" w:space="0" w:color="auto"/>
                                <w:left w:val="none" w:sz="0" w:space="0" w:color="auto"/>
                                <w:bottom w:val="none" w:sz="0" w:space="0" w:color="auto"/>
                                <w:right w:val="none" w:sz="0" w:space="0" w:color="auto"/>
                              </w:divBdr>
                              <w:divsChild>
                                <w:div w:id="966620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949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940959">
                              <w:marLeft w:val="0"/>
                              <w:marRight w:val="0"/>
                              <w:marTop w:val="0"/>
                              <w:marBottom w:val="480"/>
                              <w:divBdr>
                                <w:top w:val="none" w:sz="0" w:space="0" w:color="auto"/>
                                <w:left w:val="none" w:sz="0" w:space="0" w:color="auto"/>
                                <w:bottom w:val="none" w:sz="0" w:space="0" w:color="auto"/>
                                <w:right w:val="none" w:sz="0" w:space="0" w:color="auto"/>
                              </w:divBdr>
                            </w:div>
                            <w:div w:id="1149129500">
                              <w:marLeft w:val="0"/>
                              <w:marRight w:val="0"/>
                              <w:marTop w:val="0"/>
                              <w:marBottom w:val="480"/>
                              <w:divBdr>
                                <w:top w:val="none" w:sz="0" w:space="0" w:color="auto"/>
                                <w:left w:val="none" w:sz="0" w:space="0" w:color="auto"/>
                                <w:bottom w:val="none" w:sz="0" w:space="0" w:color="auto"/>
                                <w:right w:val="none" w:sz="0" w:space="0" w:color="auto"/>
                              </w:divBdr>
                            </w:div>
                            <w:div w:id="1631597084">
                              <w:marLeft w:val="0"/>
                              <w:marRight w:val="0"/>
                              <w:marTop w:val="0"/>
                              <w:marBottom w:val="240"/>
                              <w:divBdr>
                                <w:top w:val="none" w:sz="0" w:space="0" w:color="auto"/>
                                <w:left w:val="none" w:sz="0" w:space="0" w:color="auto"/>
                                <w:bottom w:val="none" w:sz="0" w:space="0" w:color="auto"/>
                                <w:right w:val="none" w:sz="0" w:space="0" w:color="auto"/>
                              </w:divBdr>
                              <w:divsChild>
                                <w:div w:id="1878005637">
                                  <w:marLeft w:val="0"/>
                                  <w:marRight w:val="0"/>
                                  <w:marTop w:val="240"/>
                                  <w:marBottom w:val="0"/>
                                  <w:divBdr>
                                    <w:top w:val="none" w:sz="0" w:space="0" w:color="auto"/>
                                    <w:left w:val="none" w:sz="0" w:space="0" w:color="auto"/>
                                    <w:bottom w:val="none" w:sz="0" w:space="0" w:color="auto"/>
                                    <w:right w:val="none" w:sz="0" w:space="0" w:color="auto"/>
                                  </w:divBdr>
                                  <w:divsChild>
                                    <w:div w:id="75204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4696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Bewerbungen für den Berliner Autorenlesefonds von Bibliotheken und Schulen in Marzahn-Hellersdorf können ab sofort erfolgen</vt:lpstr>
    </vt:vector>
  </TitlesOfParts>
  <Company>Bezirksamt Marzahn-Hellersdorf von Berlin</Company>
  <LinksUpToDate>false</LinksUpToDate>
  <CharactersWithSpaces>5314</CharactersWithSpaces>
  <SharedDoc>false</SharedDoc>
  <HLinks>
    <vt:vector size="6" baseType="variant">
      <vt:variant>
        <vt:i4>7602205</vt:i4>
      </vt:variant>
      <vt:variant>
        <vt:i4>0</vt:i4>
      </vt:variant>
      <vt:variant>
        <vt:i4>0</vt:i4>
      </vt:variant>
      <vt:variant>
        <vt:i4>5</vt:i4>
      </vt:variant>
      <vt:variant>
        <vt:lpwstr>mailto:maike.niederhausen@ba-mh.berlin.de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Bewerbungen für den Berliner Autorenlesefonds von Bibliotheken und Schulen in Marzahn-Hellersdorf können ab sofort erfolgen</dc:title>
  <dc:creator>niederhm</dc:creator>
  <cp:lastModifiedBy>georgim</cp:lastModifiedBy>
  <cp:revision>4</cp:revision>
  <dcterms:created xsi:type="dcterms:W3CDTF">2024-04-09T23:17:00Z</dcterms:created>
  <dcterms:modified xsi:type="dcterms:W3CDTF">2026-04-21T14:25:00Z</dcterms:modified>
</cp:coreProperties>
</file>