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rPr>
      </w:pPr>
      <w:bookmarkStart w:id="0" w:name="_GoBack"/>
      <w:bookmarkEnd w:id="0"/>
      <w:r>
        <w:rPr>
          <w:b/>
        </w:rPr>
        <w:t>Urschrift</w:t>
      </w:r>
    </w:p>
    <w:p>
      <w:pPr>
        <w:jc w:val="center"/>
        <w:rPr>
          <w:b/>
        </w:rPr>
      </w:pPr>
    </w:p>
    <w:p>
      <w:pPr>
        <w:jc w:val="center"/>
        <w:rPr>
          <w:b/>
        </w:rPr>
      </w:pPr>
      <w:r>
        <w:rPr>
          <w:b/>
        </w:rPr>
        <w:t>Verordnung</w:t>
      </w:r>
    </w:p>
    <w:p>
      <w:pPr>
        <w:jc w:val="center"/>
        <w:rPr>
          <w:b/>
        </w:rPr>
      </w:pPr>
    </w:p>
    <w:p>
      <w:pPr>
        <w:jc w:val="center"/>
        <w:rPr>
          <w:b/>
        </w:rPr>
      </w:pPr>
      <w:r>
        <w:rPr>
          <w:b/>
        </w:rPr>
        <w:t>über die Festsetzung des vorhabenbezogenen Bebauungsplans 7</w:t>
      </w:r>
      <w:r>
        <w:rPr>
          <w:b/>
        </w:rPr>
        <w:noBreakHyphen/>
        <w:t>81 VE</w:t>
      </w:r>
    </w:p>
    <w:p>
      <w:pPr>
        <w:jc w:val="center"/>
        <w:rPr>
          <w:b/>
        </w:rPr>
      </w:pPr>
      <w:r>
        <w:rPr>
          <w:b/>
        </w:rPr>
        <w:t>im Bezirk Tempelhof-Schöneberg, Ortsteil Schöneberg</w:t>
      </w:r>
    </w:p>
    <w:p>
      <w:pPr>
        <w:jc w:val="center"/>
      </w:pPr>
    </w:p>
    <w:p>
      <w:pPr>
        <w:jc w:val="center"/>
      </w:pPr>
    </w:p>
    <w:p>
      <w:pPr>
        <w:jc w:val="center"/>
      </w:pPr>
      <w:r>
        <w:t>Vom                             2020</w:t>
      </w:r>
    </w:p>
    <w:p>
      <w:pPr>
        <w:jc w:val="center"/>
      </w:pPr>
    </w:p>
    <w:p>
      <w:pPr>
        <w:pStyle w:val="Textkrper"/>
      </w:pPr>
      <w:r>
        <w:t xml:space="preserve">Auf Grund des § 12 Absatz 1 in Verbindung mit § 10 Absatz 1 des </w:t>
      </w:r>
      <w:r>
        <w:rPr>
          <w:bCs/>
        </w:rPr>
        <w:t xml:space="preserve">Baugesetzbuchs in der Fassung der Bekanntmachung vom 3. November 2017 (BGBl. I S. 3634), </w:t>
      </w:r>
      <w:r>
        <w:rPr>
          <w:szCs w:val="22"/>
        </w:rPr>
        <w:t xml:space="preserve">das </w:t>
      </w:r>
      <w:r>
        <w:t xml:space="preserve">zuletzt durch Artikel 6 des Gesetzes vom 27. März 2020 (BGBl. I S. 587) geändert worden ist, in Verbindung mit § 6 Absatz 3 und mit § 11 Absatz 1 des </w:t>
      </w:r>
      <w:r>
        <w:rPr>
          <w:bCs/>
        </w:rPr>
        <w:t>Gesetzes zur Ausführung des Baugesetzbuchs</w:t>
      </w:r>
      <w:r>
        <w:t xml:space="preserve"> in der Fassung der Bekanntmachung vom 7. November 1999 (GVBl. S. 578), das zuletzt durch Artikel 1 des Gesetzes vom 6. Dezember 2017 (GVBl. S. 664) geändert worden ist, verordnet das Bezirksamt Tempelhof-Schöneberg von Berlin:</w:t>
      </w:r>
    </w:p>
    <w:p/>
    <w:p/>
    <w:p>
      <w:pPr>
        <w:jc w:val="center"/>
      </w:pPr>
      <w:r>
        <w:t>§ 1</w:t>
      </w:r>
    </w:p>
    <w:p>
      <w:pPr>
        <w:pStyle w:val="Textkrper"/>
      </w:pPr>
      <w:r>
        <w:t>Der vorhabenbezogene Bebauungsplan 7</w:t>
      </w:r>
      <w:r>
        <w:noBreakHyphen/>
        <w:t>81 VE vom 18. Oktober 2017 mit Deckblatt vom 13. Dezember 2019 für die Grundstücke Gotenstraße 52-53 / Tempelhofer Weg 39-47 im Bezirk Tempelhof-Schöneberg, Ortsteil Schöneberg, wird festgesetzt. Er ändert teilweise den durch Verordnung über die Festsetzung des Bebauungsplans XI-A im Bezirk Schöneberg, Ortsteil Schöneberg, vom 09.07.1971 (GVBl. S. 1233) festgesetzten Bebauungsplan.</w:t>
      </w:r>
    </w:p>
    <w:p/>
    <w:p/>
    <w:p>
      <w:pPr>
        <w:jc w:val="center"/>
      </w:pPr>
      <w:r>
        <w:t>§ 2</w:t>
      </w:r>
    </w:p>
    <w:p>
      <w:pPr>
        <w:pStyle w:val="Textkrper"/>
      </w:pPr>
      <w:r>
        <w:t>Die Urschrift des vorhabenbezogenen Bebauungsplans kann bei der für die Vermessung zuständigen Abteilung des Bezirksamtes, beglaubigte Abzeichnungen des vorhabenbezogenen Bebauungsplans können bei der für die Stadtplanung zuständigen Abteilung des Bezirksamtes kostenfrei eingesehen werden.</w:t>
      </w:r>
    </w:p>
    <w:p/>
    <w:p/>
    <w:p>
      <w:pPr>
        <w:jc w:val="center"/>
      </w:pPr>
      <w:r>
        <w:t>§ 3</w:t>
      </w:r>
    </w:p>
    <w:p>
      <w:pPr>
        <w:ind w:left="357" w:hanging="357"/>
      </w:pPr>
      <w:r>
        <w:t>Auf die Vorschriften über</w:t>
      </w:r>
    </w:p>
    <w:p>
      <w:pPr>
        <w:ind w:left="357" w:hanging="357"/>
      </w:pPr>
    </w:p>
    <w:p>
      <w:pPr>
        <w:ind w:left="357" w:hanging="357"/>
        <w:jc w:val="both"/>
      </w:pPr>
      <w:r>
        <w:t>1.</w:t>
      </w:r>
      <w:r>
        <w:tab/>
        <w:t>die Geltendmachung und die Herbeiführung der Fälligkeit etwaiger Entschädi</w:t>
      </w:r>
      <w:r>
        <w:softHyphen/>
        <w:t>gungsansprüche (§ 44 Absatz 3 Satz 1 und 2 des Baugesetzbuchs) und</w:t>
      </w:r>
    </w:p>
    <w:p>
      <w:pPr>
        <w:ind w:left="357" w:hanging="357"/>
        <w:jc w:val="both"/>
      </w:pPr>
    </w:p>
    <w:p>
      <w:pPr>
        <w:ind w:left="357" w:hanging="357"/>
        <w:jc w:val="both"/>
      </w:pPr>
      <w:r>
        <w:t>2.</w:t>
      </w:r>
      <w:r>
        <w:tab/>
        <w:t>das Erlöschen von Entschädigungsansprüchen bei nicht fristgemäßer Geltendmachung (§ 44 Absatz 4 des Baugesetzbuchs)</w:t>
      </w:r>
    </w:p>
    <w:p>
      <w:pPr>
        <w:ind w:left="357" w:hanging="357"/>
      </w:pPr>
    </w:p>
    <w:p>
      <w:r>
        <w:t>wird hingewiesen.</w:t>
      </w:r>
    </w:p>
    <w:p/>
    <w:p/>
    <w:p>
      <w:pPr>
        <w:jc w:val="center"/>
      </w:pPr>
      <w:r>
        <w:t>§ 4</w:t>
      </w:r>
    </w:p>
    <w:p>
      <w:r>
        <w:t>(1) Wer die Rechtswirksamkeit dieser Verordnung überprüfen lassen will, muss</w:t>
      </w:r>
    </w:p>
    <w:p/>
    <w:p>
      <w:pPr>
        <w:numPr>
          <w:ilvl w:val="0"/>
          <w:numId w:val="1"/>
        </w:numPr>
        <w:jc w:val="both"/>
      </w:pPr>
      <w:r>
        <w:t>eine beachtliche Verletzung der Verfahrens- und Formvorschriften, die in § 214 Absatz 1 Satz 1 Nummer 1 bis 3 des Baugesetzbuchs bezeichnet sind,</w:t>
      </w:r>
    </w:p>
    <w:p>
      <w:pPr>
        <w:ind w:left="357" w:hanging="357"/>
        <w:jc w:val="both"/>
      </w:pPr>
    </w:p>
    <w:p>
      <w:pPr>
        <w:numPr>
          <w:ilvl w:val="0"/>
          <w:numId w:val="1"/>
        </w:numPr>
        <w:jc w:val="both"/>
      </w:pPr>
      <w:r>
        <w:t>eine unter Berücksichtigung des § 214 Absatz 2 des Baugesetzbuchs beachtliche Verletzung der Vorschriften über das Verhältnis des Bebauungsplans und des Flächennutzungsplans,</w:t>
      </w:r>
    </w:p>
    <w:p>
      <w:pPr>
        <w:pStyle w:val="Listenabsatz"/>
      </w:pPr>
    </w:p>
    <w:p>
      <w:pPr>
        <w:numPr>
          <w:ilvl w:val="0"/>
          <w:numId w:val="1"/>
        </w:numPr>
        <w:jc w:val="both"/>
      </w:pPr>
      <w:r>
        <w:lastRenderedPageBreak/>
        <w:t>nach § 214 Absatz 3 Satz 2 des Baugesetzbuchs beachtliche Mängel des Abwä</w:t>
      </w:r>
      <w:r>
        <w:softHyphen/>
        <w:t>gungsvorgangs,</w:t>
      </w:r>
    </w:p>
    <w:p>
      <w:pPr>
        <w:jc w:val="both"/>
      </w:pPr>
    </w:p>
    <w:p>
      <w:pPr>
        <w:numPr>
          <w:ilvl w:val="0"/>
          <w:numId w:val="1"/>
        </w:numPr>
        <w:jc w:val="both"/>
      </w:pPr>
      <w:r>
        <w:t xml:space="preserve">eine Verletzung von Verfahrens- und Formvorschriften, die im Gesetz zur Ausführung des Baugesetzbuchs enthalten sind, </w:t>
      </w:r>
    </w:p>
    <w:p>
      <w:pPr>
        <w:jc w:val="both"/>
      </w:pPr>
    </w:p>
    <w:p>
      <w:pPr>
        <w:jc w:val="both"/>
      </w:pPr>
      <w:r>
        <w:t>innerhalb eines Jahres seit der Verkündung dieser Verordnung gegenüber dem Bezirksamt Tempelhof-Schöneberg von Berlin schriftlich geltend machen. Der Sachverhalt, der die Verletzung oder den Mangel begründen soll, ist darzulegen. Nach Ablauf der in Satz 1 genannten Frist werden die in Nummer 1 bis 4 genannten Verletzungen oder Mängel gemäß § 215 Absatz 1 des Baugesetzbuchs und gemäß § 32 Absatz 2 des Gesetzes zur Ausführung des Baugesetzbuchs unbeachtlich.</w:t>
      </w:r>
    </w:p>
    <w:p/>
    <w:p>
      <w:pPr>
        <w:jc w:val="both"/>
      </w:pPr>
      <w:r>
        <w:t>(2) Die Beschränkung des Absatzes 1 gilt nicht, wenn die für die Verkündung dieser Verordnung geltenden Vorschriften verletzt worden sind.</w:t>
      </w:r>
    </w:p>
    <w:p/>
    <w:p/>
    <w:p>
      <w:pPr>
        <w:jc w:val="center"/>
      </w:pPr>
      <w:r>
        <w:t>§ 5</w:t>
      </w:r>
    </w:p>
    <w:p>
      <w:pPr>
        <w:jc w:val="both"/>
      </w:pPr>
      <w:r>
        <w:t>Diese Verordnung tritt am Tage nach der Verkündung im Gesetz- und Verordnungsblatt für Berlin in Kraft.</w:t>
      </w:r>
    </w:p>
    <w:p/>
    <w:p/>
    <w:p>
      <w:r>
        <w:t>Berlin, den                   2020</w:t>
      </w:r>
    </w:p>
    <w:p/>
    <w:p>
      <w:pPr>
        <w:jc w:val="center"/>
      </w:pPr>
      <w:r>
        <w:t>Bezirksamt Tempelhof-Schöneberg von Berlin</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t xml:space="preserve">Schöttler </w:t>
      </w:r>
      <w:r>
        <w:tab/>
      </w:r>
      <w:r>
        <w:tab/>
      </w:r>
      <w:r>
        <w:tab/>
      </w:r>
      <w:r>
        <w:tab/>
      </w:r>
      <w:r>
        <w:tab/>
      </w:r>
      <w:r>
        <w:tab/>
      </w:r>
      <w:r>
        <w:tab/>
      </w:r>
      <w:r>
        <w:tab/>
      </w:r>
      <w:r>
        <w:tab/>
        <w:t>Oltmann</w:t>
      </w:r>
    </w:p>
    <w:p>
      <w:pPr>
        <w:jc w:val="center"/>
      </w:pPr>
      <w:r>
        <w:t>Bezirksbürgermeisterin</w:t>
      </w:r>
      <w:r>
        <w:tab/>
      </w:r>
      <w:r>
        <w:tab/>
      </w:r>
      <w:r>
        <w:tab/>
      </w:r>
      <w:r>
        <w:tab/>
      </w:r>
      <w:r>
        <w:tab/>
      </w:r>
      <w:r>
        <w:tab/>
      </w:r>
      <w:r>
        <w:tab/>
        <w:t>Bezirksstadtrat</w:t>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D4296"/>
    <w:multiLevelType w:val="singleLevel"/>
    <w:tmpl w:val="0407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867EF0-E56D-4EFA-B73B-728DC5AD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paragraph" w:styleId="Endnotentext">
    <w:name w:val="endnote text"/>
    <w:basedOn w:val="Standard"/>
    <w:link w:val="EndnotentextZchn"/>
    <w:semiHidden/>
    <w:rPr>
      <w:rFonts w:ascii="Univers (WN)" w:hAnsi="Univers (WN)" w:cs="Times New Roman"/>
      <w:sz w:val="20"/>
      <w:szCs w:val="20"/>
    </w:rPr>
  </w:style>
  <w:style w:type="paragraph" w:styleId="Textkrper">
    <w:name w:val="Body Text"/>
    <w:basedOn w:val="Standard"/>
    <w:link w:val="TextkrperZchn"/>
    <w:pPr>
      <w:jc w:val="both"/>
    </w:pPr>
  </w:style>
  <w:style w:type="character" w:customStyle="1" w:styleId="EndnotentextZchn">
    <w:name w:val="Endnotentext Zchn"/>
    <w:link w:val="Endnotentext"/>
    <w:semiHidden/>
    <w:rPr>
      <w:rFonts w:ascii="Univers (WN)" w:hAnsi="Univers (WN)"/>
    </w:rPr>
  </w:style>
  <w:style w:type="character" w:styleId="Funotenzeichen">
    <w:name w:val="footnote reference"/>
    <w:basedOn w:val="Absatz-Standardschriftart"/>
    <w:rPr>
      <w:vertAlign w:val="superscript"/>
    </w:rPr>
  </w:style>
  <w:style w:type="paragraph" w:styleId="Funotentext">
    <w:name w:val="footnote text"/>
    <w:basedOn w:val="Standard"/>
    <w:link w:val="FunotentextZchn"/>
    <w:rPr>
      <w:sz w:val="20"/>
      <w:szCs w:val="20"/>
    </w:rPr>
  </w:style>
  <w:style w:type="character" w:customStyle="1" w:styleId="FunotentextZchn">
    <w:name w:val="Fußnotentext Zchn"/>
    <w:basedOn w:val="Absatz-Standardschriftart"/>
    <w:link w:val="Funotentext"/>
    <w:rPr>
      <w:rFonts w:ascii="Arial" w:hAnsi="Arial" w:cs="Arial"/>
    </w:rPr>
  </w:style>
  <w:style w:type="paragraph" w:styleId="Listenabsatz">
    <w:name w:val="List Paragraph"/>
    <w:basedOn w:val="Standard"/>
    <w:uiPriority w:val="34"/>
    <w:qFormat/>
    <w:pPr>
      <w:ind w:left="720"/>
      <w:contextualSpacing/>
    </w:pPr>
  </w:style>
  <w:style w:type="character" w:customStyle="1" w:styleId="TextkrperZchn">
    <w:name w:val="Textkörper Zchn"/>
    <w:basedOn w:val="Absatz-Standardschriftart"/>
    <w:link w:val="Textkrper"/>
    <w:rPr>
      <w:rFonts w:ascii="Arial" w:hAnsi="Arial" w:cs="Arial"/>
      <w:sz w:val="22"/>
      <w:szCs w:val="24"/>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rFonts w:ascii="Arial" w:hAnsi="Arial" w:cs="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cs="Arial"/>
      <w:b/>
      <w:bCs/>
    </w:rPr>
  </w:style>
  <w:style w:type="paragraph" w:styleId="Sprechblasentext">
    <w:name w:val="Balloon Text"/>
    <w:basedOn w:val="Standard"/>
    <w:link w:val="SprechblasentextZchn"/>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43349">
      <w:bodyDiv w:val="1"/>
      <w:marLeft w:val="0"/>
      <w:marRight w:val="0"/>
      <w:marTop w:val="0"/>
      <w:marBottom w:val="0"/>
      <w:divBdr>
        <w:top w:val="none" w:sz="0" w:space="0" w:color="auto"/>
        <w:left w:val="none" w:sz="0" w:space="0" w:color="auto"/>
        <w:bottom w:val="none" w:sz="0" w:space="0" w:color="auto"/>
        <w:right w:val="none" w:sz="0" w:space="0" w:color="auto"/>
      </w:divBdr>
    </w:div>
    <w:div w:id="342517917">
      <w:bodyDiv w:val="1"/>
      <w:marLeft w:val="0"/>
      <w:marRight w:val="0"/>
      <w:marTop w:val="0"/>
      <w:marBottom w:val="0"/>
      <w:divBdr>
        <w:top w:val="none" w:sz="0" w:space="0" w:color="auto"/>
        <w:left w:val="none" w:sz="0" w:space="0" w:color="auto"/>
        <w:bottom w:val="none" w:sz="0" w:space="0" w:color="auto"/>
        <w:right w:val="none" w:sz="0" w:space="0" w:color="auto"/>
      </w:divBdr>
    </w:div>
    <w:div w:id="16921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FC682873899A459AEA76B6B02E535E" ma:contentTypeVersion="2" ma:contentTypeDescription="Ein neues Dokument erstellen." ma:contentTypeScope="" ma:versionID="abcaa281b5d5e3e84731658505455958">
  <xsd:schema xmlns:xsd="http://www.w3.org/2001/XMLSchema" xmlns:xs="http://www.w3.org/2001/XMLSchema" xmlns:p="http://schemas.microsoft.com/office/2006/metadata/properties" xmlns:ns1="http://schemas.microsoft.com/sharepoint/v3" xmlns:ns2="63b6ed2c-1a7b-46e6-83bd-1b5a1505b5e4" targetNamespace="http://schemas.microsoft.com/office/2006/metadata/properties" ma:root="true" ma:fieldsID="f6dd3f5ea02980b11a81918e995cc195" ns1:_="" ns2:_="">
    <xsd:import namespace="http://schemas.microsoft.com/sharepoint/v3"/>
    <xsd:import namespace="63b6ed2c-1a7b-46e6-83bd-1b5a1505b5e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6ed2c-1a7b-46e6-83bd-1b5a1505b5e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D9AFE-F93A-4F26-AF8D-A2B3D50AB739}">
  <ds:schemaRefs>
    <ds:schemaRef ds:uri="http://schemas.microsoft.com/sharepoint/v3/contenttype/forms"/>
  </ds:schemaRefs>
</ds:datastoreItem>
</file>

<file path=customXml/itemProps2.xml><?xml version="1.0" encoding="utf-8"?>
<ds:datastoreItem xmlns:ds="http://schemas.openxmlformats.org/officeDocument/2006/customXml" ds:itemID="{65514F27-8348-427B-B775-0D37A4EB84AC}">
  <ds:schemaRefs>
    <ds:schemaRef ds:uri="63b6ed2c-1a7b-46e6-83bd-1b5a1505b5e4"/>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047E81-A07D-40C3-AC14-CF54FEF9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6ed2c-1a7b-46e6-83bd-1b5a1505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Muster Bezirk 2017</vt:lpstr>
    </vt:vector>
  </TitlesOfParts>
  <Company>SenStadt Berlin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Bezirk 2017</dc:title>
  <dc:creator>Schulz, Christina</dc:creator>
  <cp:lastModifiedBy>Kulenovic, Daniela</cp:lastModifiedBy>
  <cp:revision>2</cp:revision>
  <cp:lastPrinted>2020-06-29T12:08:00Z</cp:lastPrinted>
  <dcterms:created xsi:type="dcterms:W3CDTF">2020-07-01T08:53:00Z</dcterms:created>
  <dcterms:modified xsi:type="dcterms:W3CDTF">2020-07-01T08:53:00Z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0x0101001EFC682873899A459AEA76B6B02E535E</vt:lpwstr>
  </property>
</Properties>
</file>