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pPr>
      <w:r>
        <w:rPr>
          <w:noProof/>
          <w:lang w:eastAsia="de-DE"/>
        </w:rPr>
        <w:drawing>
          <wp:inline distT="0" distB="0" distL="0" distR="0">
            <wp:extent cx="2602800" cy="374400"/>
            <wp:effectExtent l="0" t="0" r="0" b="6985"/>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inline>
        </w:drawing>
      </w:r>
    </w:p>
    <w:p>
      <w:pPr>
        <w:tabs>
          <w:tab w:val="right" w:pos="8675"/>
        </w:tabs>
      </w:pPr>
      <w:r>
        <w:t>Abteilung Finanzen, Personal und Wirtschaftsförderung</w:t>
      </w:r>
      <w:r>
        <w:tab/>
        <w:t>18.06.2020</w:t>
      </w:r>
      <w:r>
        <w:tab/>
        <w:t>Telefon: 2300</w:t>
      </w:r>
    </w:p>
    <w:p>
      <w:pPr>
        <w:pStyle w:val="Titel"/>
      </w:pPr>
      <w:r>
        <w:t>Bezirksamtsvorlage zur Beschlussfassung</w:t>
      </w:r>
    </w:p>
    <w:p>
      <w:r>
        <w:t>für die Sitzung des Bezirksamtes am Dienstag, 23. Juni 2020</w:t>
      </w:r>
    </w:p>
    <w:p>
      <w:pPr>
        <w:pStyle w:val="berschrift1"/>
      </w:pPr>
      <w:r>
        <w:t>Gegenstand der Vorlage</w:t>
      </w:r>
    </w:p>
    <w:p>
      <w:pPr>
        <w:rPr>
          <w:lang w:eastAsia="de-DE"/>
        </w:rPr>
      </w:pPr>
      <w:r>
        <w:rPr>
          <w:lang w:eastAsia="de-DE"/>
        </w:rPr>
        <w:t>Titel: Bezirklichen Veranstaltungskalender attraktiver machen</w:t>
      </w:r>
      <w:r>
        <w:rPr>
          <w:lang w:eastAsia="de-DE"/>
        </w:rPr>
        <w:br/>
        <w:t>Beschluss der BVV vom 21.02.2018</w:t>
      </w:r>
      <w:r>
        <w:rPr>
          <w:lang w:eastAsia="de-DE"/>
        </w:rPr>
        <w:br/>
        <w:t>Drucksache Nr. 0505/XX</w:t>
      </w:r>
    </w:p>
    <w:p>
      <w:pPr>
        <w:pStyle w:val="berschrift1"/>
      </w:pPr>
      <w:r>
        <w:t>Berichterstatter_in</w:t>
      </w:r>
    </w:p>
    <w:p>
      <w:pPr>
        <w:rPr>
          <w:lang w:eastAsia="de-DE"/>
        </w:rPr>
      </w:pPr>
      <w:r>
        <w:rPr>
          <w:lang w:eastAsia="de-DE"/>
        </w:rPr>
        <w:t>Bezirksbürgermeisterin Frau Angelika Schöttler</w:t>
      </w:r>
    </w:p>
    <w:p>
      <w:pPr>
        <w:pStyle w:val="berschrift1"/>
      </w:pPr>
      <w:r>
        <w:t>Beschluss</w:t>
      </w:r>
    </w:p>
    <w:p>
      <w:pPr>
        <w:tabs>
          <w:tab w:val="left" w:pos="6900"/>
        </w:tabs>
        <w:rPr>
          <w:lang w:eastAsia="de-DE"/>
        </w:rPr>
      </w:pPr>
      <w:r>
        <w:rPr>
          <w:lang w:eastAsia="de-DE"/>
        </w:rPr>
        <w:t>Das Bezirksamt beschließt, die beigefügte Mitteilung zur Kenntnisnahme an die BVV Tempelhof-Schöneberg weiterzuleiten</w:t>
      </w:r>
    </w:p>
    <w:p>
      <w:pPr>
        <w:pStyle w:val="berschrift1"/>
      </w:pPr>
      <w:r>
        <w:t>Begründung</w:t>
      </w:r>
    </w:p>
    <w:p>
      <w:pPr>
        <w:rPr>
          <w:lang w:eastAsia="de-DE"/>
        </w:rPr>
      </w:pPr>
      <w:r>
        <w:rPr>
          <w:lang w:eastAsia="de-DE"/>
        </w:rPr>
        <w:t>Ist der Anlage zu entnehmen.</w:t>
      </w:r>
    </w:p>
    <w:p>
      <w:pPr>
        <w:pStyle w:val="berschrift1"/>
      </w:pPr>
      <w:r>
        <w:t>Rechtsgrundlage</w:t>
      </w:r>
    </w:p>
    <w:p>
      <w:pPr>
        <w:rPr>
          <w:lang w:eastAsia="de-DE"/>
        </w:rPr>
      </w:pPr>
      <w:r>
        <w:rPr>
          <w:lang w:eastAsia="de-DE"/>
        </w:rPr>
        <w:t xml:space="preserve">§ 36 </w:t>
      </w:r>
      <w:proofErr w:type="spellStart"/>
      <w:r>
        <w:rPr>
          <w:lang w:eastAsia="de-DE"/>
        </w:rPr>
        <w:t>BezVG</w:t>
      </w:r>
      <w:proofErr w:type="spellEnd"/>
    </w:p>
    <w:p>
      <w:pPr>
        <w:pStyle w:val="berschrift1"/>
      </w:pPr>
      <w:r>
        <w:t>Auswirkungen auf die Gleichstellung der Geschlechter</w:t>
      </w:r>
    </w:p>
    <w:p>
      <w:pPr>
        <w:rPr>
          <w:lang w:eastAsia="de-DE"/>
        </w:rPr>
      </w:pPr>
      <w:r>
        <w:t>keine</w:t>
      </w:r>
    </w:p>
    <w:p>
      <w:pPr>
        <w:pStyle w:val="berschrift1"/>
      </w:pPr>
      <w:r>
        <w:t>Haushaltsmäßige / Personalwirtschaftliche Auswirkungen</w:t>
      </w:r>
    </w:p>
    <w:p>
      <w:pPr>
        <w:rPr>
          <w:lang w:eastAsia="de-DE"/>
        </w:rPr>
      </w:pPr>
      <w:r>
        <w:rPr>
          <w:lang w:eastAsia="de-DE"/>
        </w:rPr>
        <w:t>keine</w:t>
      </w:r>
    </w:p>
    <w:p>
      <w:pPr>
        <w:pStyle w:val="berschrift1"/>
      </w:pPr>
      <w:r>
        <w:t>Nachhaltigkeit</w:t>
      </w:r>
    </w:p>
    <w:p>
      <w:pPr>
        <w:rPr>
          <w:lang w:eastAsia="de-DE"/>
        </w:rPr>
      </w:pPr>
      <w:r>
        <w:rPr>
          <w:lang w:eastAsia="de-DE"/>
        </w:rPr>
        <w:t>siehe Anlage</w:t>
      </w:r>
    </w:p>
    <w:p>
      <w:pPr>
        <w:pStyle w:val="berschrift1"/>
      </w:pPr>
      <w:r>
        <w:t>Unterrichtung BVV</w:t>
      </w:r>
    </w:p>
    <w:p>
      <w:pPr>
        <w:rPr>
          <w:lang w:eastAsia="de-DE"/>
        </w:rPr>
      </w:pPr>
      <w:r>
        <w:rPr>
          <w:lang w:eastAsia="de-DE"/>
        </w:rPr>
        <w:t xml:space="preserve">Ja, als Mitteilung zur Kenntnisnahme </w:t>
      </w:r>
    </w:p>
    <w:p>
      <w:pPr>
        <w:pStyle w:val="berschrift1"/>
      </w:pPr>
      <w:r>
        <w:lastRenderedPageBreak/>
        <w:t>Mitzeichnung</w:t>
      </w:r>
    </w:p>
    <w:p>
      <w:pPr>
        <w:rPr>
          <w:lang w:eastAsia="de-DE"/>
        </w:rPr>
      </w:pPr>
      <w: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r>
      <w:r>
        <w:rPr>
          <w:lang w:eastAsia="de-DE"/>
        </w:rPr>
        <w:t xml:space="preserve"> </w:t>
      </w:r>
      <w:r>
        <w:rPr>
          <w:lang w:eastAsia="de-DE"/>
        </w:rPr>
        <w:br/>
      </w:r>
    </w:p>
    <w:p>
      <w:pPr>
        <w:pStyle w:val="Unterschrift"/>
        <w:tabs>
          <w:tab w:val="left" w:pos="5103"/>
        </w:tabs>
        <w:rPr>
          <w:lang w:eastAsia="de-DE"/>
        </w:rPr>
      </w:pPr>
      <w:r>
        <w:rPr>
          <w:lang w:eastAsia="de-DE"/>
        </w:rPr>
        <w:br w:type="textWrapping" w:clear="all"/>
      </w:r>
    </w:p>
    <w:p>
      <w:pPr>
        <w:pStyle w:val="berschrift2"/>
        <w:rPr>
          <w:lang w:eastAsia="de-DE"/>
        </w:rPr>
      </w:pPr>
      <w:r>
        <w:rPr>
          <w:lang w:eastAsia="de-DE"/>
        </w:rPr>
        <w:t>Anlagen</w:t>
      </w: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lastRenderedPageBreak/>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lastRenderedPageBreak/>
        <w:t>Drucksachen der Bezirksverordnetenversammlung Tempelhof-Schöneberg von Berlin</w:t>
      </w:r>
    </w:p>
    <w:p>
      <w:pPr>
        <w:pStyle w:val="Textkrper"/>
        <w:rPr>
          <w:lang w:eastAsia="de-DE"/>
        </w:rPr>
      </w:pPr>
      <w:r>
        <w:rPr>
          <w:lang w:eastAsia="de-DE"/>
        </w:rPr>
        <w:t>- XX. Wahlperiode –</w:t>
      </w:r>
    </w:p>
    <w:p>
      <w:pPr>
        <w:pStyle w:val="Standardeinzug"/>
      </w:pPr>
      <w:r>
        <w:t>Drucksache Nr.</w:t>
      </w:r>
      <w:r>
        <w:tab/>
        <w:t>0505/XX</w:t>
      </w:r>
    </w:p>
    <w:p>
      <w:pPr>
        <w:pStyle w:val="Standardeinzug"/>
      </w:pP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21.02.2018 Drucksache Nr. 0505/XX</w:t>
      </w:r>
    </w:p>
    <w:p>
      <w:pPr>
        <w:pStyle w:val="Textkrper2"/>
      </w:pPr>
      <w:r>
        <w:t xml:space="preserve">Die BVV fasste auf ihrer Sitzung am 21.02.2018 folgenden Beschluss: </w:t>
      </w:r>
      <w:r>
        <w:br/>
        <w:t>Die Bezirksverordnetenversammlung ersucht das Bezirksamt, den Veranstaltungskalender auf seiner Webseite (</w:t>
      </w:r>
      <w:hyperlink r:id="rId11" w:history="1">
        <w:r>
          <w:rPr>
            <w:rStyle w:val="Hyperlink"/>
          </w:rPr>
          <w:t>https://berlin.de/ba-tempelhof-schoeneberg/aktuelles/veranstaltungen/</w:t>
        </w:r>
      </w:hyperlink>
      <w:r>
        <w:t xml:space="preserve">) künftig regelmäßig auch mit allen vom Bezirksamt durchgeführten und für die Öffentlichkeit zugänglichen Veranstaltungen zu befüllen. </w:t>
      </w:r>
      <w:r>
        <w:br/>
        <w:t>Fernerhin sollen öffentliche Veranstaltungen, zu denen das Bezirksamt Pressemitteilungen herausgibt, ebenfalls in den Kalender aufgenommen werden.</w:t>
      </w:r>
    </w:p>
    <w:p>
      <w:pPr>
        <w:pStyle w:val="Textkrper2"/>
      </w:pPr>
      <w:r>
        <w:t>Das Bezirksamt teilt hierzu mit der Bitte um Kenntnisnahme mit:</w:t>
      </w:r>
    </w:p>
    <w:p>
      <w:r>
        <w:t xml:space="preserve">Der bezirkliche Veranstaltungskalender wird von der Landesredaktion/Koordinierung Berlin.de für das Bezirksamt bereitgestellt und ist ein dezentral geführter Kalender, d.h. die Veranstaltungen werden dezentral von allen Bereichen selbst eingetragen. Dafür ist ein Account nötig, der in der Pressestelle des Bezirksamtes beantragt werden kann. </w:t>
      </w:r>
    </w:p>
    <w:p>
      <w:r>
        <w:t xml:space="preserve">Die Pressestelle hat den Beschluss der BVV zum Anlass genommen, noch stärker für den Veranstaltungskalender zu werben, um die Nutzung weiter zu steigern. Dies beinhaltet die direkte Ansprache von </w:t>
      </w:r>
      <w:proofErr w:type="spellStart"/>
      <w:r>
        <w:t>Kolleg_innen</w:t>
      </w:r>
      <w:proofErr w:type="spellEnd"/>
      <w:r>
        <w:t xml:space="preserve"> der Öffentlichkeitsarbeit, Informationsschreiben über die Tagesmeldungen im Intranet und Informationen zur den Möglichkeiten des Veranstaltungskalenders in der Bezirksamtsrunde.</w:t>
      </w:r>
    </w:p>
    <w:p/>
    <w:p/>
    <w:p/>
    <w:p>
      <w:bookmarkStart w:id="0" w:name="_GoBack"/>
      <w:bookmarkEnd w:id="0"/>
      <w:r>
        <w:lastRenderedPageBreak/>
        <w:t xml:space="preserve">Auf ihrer </w:t>
      </w:r>
      <w:proofErr w:type="spellStart"/>
      <w:r>
        <w:t>Intranetseite</w:t>
      </w:r>
      <w:proofErr w:type="spellEnd"/>
      <w:r>
        <w:t xml:space="preserve"> informiert die Pressestelle zu den Nutzungsbedingungen des Veranstaltungskalenders und bietet ein Online-Formular zur </w:t>
      </w:r>
      <w:proofErr w:type="spellStart"/>
      <w:r>
        <w:t>Accountbeantragung</w:t>
      </w:r>
      <w:proofErr w:type="spellEnd"/>
      <w:r>
        <w:t xml:space="preserve">: </w:t>
      </w:r>
      <w:hyperlink r:id="rId12" w:history="1">
        <w:r>
          <w:rPr>
            <w:rStyle w:val="Hyperlink"/>
          </w:rPr>
          <w:t>http://b-intern.de/ba/tempelhof-schoeneberg/politik-und-verwaltung/organisationseinheiten/pressestelle/formular.932991.php</w:t>
        </w:r>
      </w:hyperlink>
    </w:p>
    <w:p>
      <w:pPr>
        <w:pStyle w:val="Textkrper2"/>
      </w:pPr>
      <w:r>
        <w:t>Berlin Tempelhof-Schöneberg, den 23.06.2020</w:t>
      </w:r>
    </w:p>
    <w:p>
      <w:pPr>
        <w:pStyle w:val="Unterschrift"/>
      </w:pPr>
      <w:r>
        <w:t xml:space="preserve">Angelika Schöttler </w:t>
      </w:r>
      <w:r>
        <w:br/>
        <w:t>Bezirksbürgermeisterin</w:t>
      </w: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5</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17B0D44-9A3C-4068-B67D-AF1899A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character" w:styleId="Hyperlink">
    <w:name w:val="Hyperlink"/>
    <w:basedOn w:val="Absatz-Standardschriftart"/>
    <w:rPr>
      <w:color w:val="004A9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ntern.de/ba/tempelhof-schoeneberg/politik-und-verwaltung/organisationseinheiten/pressestelle/formular.932991.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lin.de/ba-tempelhof-schoeneberg/aktuelles/veranstaltungen/"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zbm\_00%20BzBm\1_%20Aktenplan\5.%20BA-Sitzungen\BA_Vorlage_Beschlussfassung_barrierefrei_05022020.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851B-6C5D-49DA-A1C8-3DEB96AE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BA_Vorlage_Beschlussfassung_barrierefrei_05022020.dotx</Template>
  <TotalTime>0</TotalTime>
  <Pages>5</Pages>
  <Words>517</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Fenster, Johann</dc:creator>
  <cp:keywords>Bezirksamtsvorlage, Beschlussfassung</cp:keywords>
  <dc:description/>
  <cp:lastModifiedBy>Markus, Natascha</cp:lastModifiedBy>
  <cp:revision>6</cp:revision>
  <cp:lastPrinted>2020-06-11T09:10:00Z</cp:lastPrinted>
  <dcterms:created xsi:type="dcterms:W3CDTF">2020-05-18T09:31:00Z</dcterms:created>
  <dcterms:modified xsi:type="dcterms:W3CDTF">2020-06-18T12:17:00Z</dcterms:modified>
</cp:coreProperties>
</file>