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6521"/>
        </w:tabs>
        <w:rPr>
          <w:rFonts w:ascii="Arial" w:hAnsi="Arial" w:cs="Arial"/>
          <w:sz w:val="22"/>
        </w:rPr>
      </w:pPr>
      <w:r>
        <w:rPr>
          <w:rFonts w:ascii="Arial" w:hAnsi="Arial" w:cs="Arial"/>
          <w:sz w:val="22"/>
        </w:rPr>
        <w:t>Abteilung Stadtentwicklung und Bauen</w:t>
      </w:r>
      <w:r>
        <w:rPr>
          <w:rFonts w:ascii="Arial" w:hAnsi="Arial" w:cs="Arial"/>
          <w:sz w:val="22"/>
        </w:rPr>
        <w:tab/>
        <w:t xml:space="preserve">       15. Juni 2020</w:t>
      </w:r>
    </w:p>
    <w:p>
      <w:pPr>
        <w:tabs>
          <w:tab w:val="left" w:pos="6946"/>
        </w:tabs>
        <w:rPr>
          <w:rFonts w:ascii="Arial" w:hAnsi="Arial" w:cs="Arial"/>
          <w:sz w:val="22"/>
        </w:rPr>
      </w:pPr>
      <w:r>
        <w:rPr>
          <w:rFonts w:ascii="Arial" w:hAnsi="Arial" w:cs="Arial"/>
          <w:sz w:val="22"/>
        </w:rPr>
        <w:t>Stadtentwicklungsamt</w:t>
      </w:r>
      <w:r>
        <w:rPr>
          <w:rFonts w:ascii="Arial" w:hAnsi="Arial" w:cs="Arial"/>
          <w:sz w:val="22"/>
        </w:rPr>
        <w:tab/>
        <w:t>Tel. 6454</w:t>
      </w:r>
    </w:p>
    <w:p>
      <w:pPr>
        <w:rPr>
          <w:rFonts w:ascii="Arial" w:hAnsi="Arial" w:cs="Arial"/>
          <w:sz w:val="22"/>
        </w:rPr>
      </w:pPr>
      <w:r>
        <w:rPr>
          <w:rFonts w:ascii="Arial" w:hAnsi="Arial" w:cs="Arial"/>
          <w:sz w:val="22"/>
        </w:rPr>
        <w:t>Stapl 119</w:t>
      </w:r>
    </w:p>
    <w:p>
      <w:pPr>
        <w:rPr>
          <w:rFonts w:ascii="Arial" w:hAnsi="Arial" w:cs="Arial"/>
          <w:sz w:val="22"/>
        </w:rPr>
      </w:pPr>
    </w:p>
    <w:p>
      <w:pPr>
        <w:rPr>
          <w:rFonts w:ascii="Arial" w:hAnsi="Arial" w:cs="Arial"/>
          <w:b/>
          <w:sz w:val="22"/>
        </w:rPr>
      </w:pPr>
    </w:p>
    <w:p>
      <w:pPr>
        <w:rPr>
          <w:rFonts w:ascii="Arial" w:hAnsi="Arial" w:cs="Arial"/>
          <w:b/>
          <w:sz w:val="22"/>
        </w:rPr>
      </w:pPr>
    </w:p>
    <w:p>
      <w:pPr>
        <w:pStyle w:val="berschrift2"/>
        <w:rPr>
          <w:rFonts w:cs="Arial"/>
        </w:rPr>
      </w:pPr>
      <w:r>
        <w:rPr>
          <w:rFonts w:cs="Arial"/>
        </w:rPr>
        <w:t>Vorlage</w:t>
      </w:r>
    </w:p>
    <w:p>
      <w:pPr>
        <w:jc w:val="center"/>
        <w:rPr>
          <w:rFonts w:ascii="Arial" w:hAnsi="Arial" w:cs="Arial"/>
          <w:b/>
          <w:sz w:val="22"/>
        </w:rPr>
      </w:pPr>
      <w:r>
        <w:rPr>
          <w:rFonts w:ascii="Arial" w:hAnsi="Arial" w:cs="Arial"/>
          <w:b/>
          <w:sz w:val="22"/>
        </w:rPr>
        <w:t>zur Beschlussfassung</w:t>
      </w:r>
    </w:p>
    <w:p>
      <w:pPr>
        <w:rPr>
          <w:rFonts w:ascii="Arial" w:hAnsi="Arial" w:cs="Arial"/>
          <w:sz w:val="22"/>
        </w:rPr>
      </w:pPr>
    </w:p>
    <w:p>
      <w:pPr>
        <w:jc w:val="center"/>
        <w:rPr>
          <w:rFonts w:ascii="Arial" w:hAnsi="Arial" w:cs="Arial"/>
          <w:sz w:val="22"/>
        </w:rPr>
      </w:pPr>
      <w:r>
        <w:rPr>
          <w:rFonts w:ascii="Arial" w:hAnsi="Arial" w:cs="Arial"/>
          <w:sz w:val="22"/>
        </w:rPr>
        <w:t>für die Sitzung des Bezirksamtes am Dienstag, dem 23.06.2020</w:t>
      </w:r>
    </w:p>
    <w:p>
      <w:pPr>
        <w:rPr>
          <w:rFonts w:ascii="Arial" w:hAnsi="Arial" w:cs="Arial"/>
          <w:sz w:val="22"/>
        </w:rPr>
      </w:pPr>
    </w:p>
    <w:p>
      <w:pPr>
        <w:rPr>
          <w:rFonts w:ascii="Arial" w:hAnsi="Arial" w:cs="Arial"/>
          <w:sz w:val="22"/>
        </w:rPr>
      </w:pPr>
    </w:p>
    <w:tbl>
      <w:tblPr>
        <w:tblW w:w="0" w:type="auto"/>
        <w:tblInd w:w="-38" w:type="dxa"/>
        <w:tblLayout w:type="fixed"/>
        <w:tblCellMar>
          <w:left w:w="70" w:type="dxa"/>
          <w:right w:w="70" w:type="dxa"/>
        </w:tblCellMar>
        <w:tblLook w:val="01E0" w:firstRow="1" w:lastRow="1" w:firstColumn="1" w:lastColumn="1" w:noHBand="0" w:noVBand="0"/>
      </w:tblPr>
      <w:tblGrid>
        <w:gridCol w:w="4361"/>
        <w:gridCol w:w="5103"/>
      </w:tblGrid>
      <w:tr>
        <w:tc>
          <w:tcPr>
            <w:tcW w:w="4361" w:type="dxa"/>
          </w:tcPr>
          <w:p>
            <w:pPr>
              <w:rPr>
                <w:rFonts w:ascii="Arial" w:hAnsi="Arial" w:cs="Arial"/>
                <w:sz w:val="22"/>
              </w:rPr>
            </w:pPr>
            <w:r>
              <w:rPr>
                <w:rFonts w:ascii="Arial" w:hAnsi="Arial" w:cs="Arial"/>
                <w:sz w:val="22"/>
              </w:rPr>
              <w:t>1.   Gegenstand der Vorlage:</w:t>
            </w:r>
          </w:p>
        </w:tc>
        <w:tc>
          <w:tcPr>
            <w:tcW w:w="5103" w:type="dxa"/>
          </w:tcPr>
          <w:p>
            <w:pPr>
              <w:ind w:left="72"/>
              <w:rPr>
                <w:rFonts w:ascii="Arial" w:hAnsi="Arial" w:cs="Arial"/>
                <w:b/>
                <w:sz w:val="22"/>
              </w:rPr>
            </w:pPr>
            <w:r>
              <w:rPr>
                <w:rFonts w:ascii="Arial" w:hAnsi="Arial" w:cs="Arial"/>
                <w:b/>
                <w:sz w:val="22"/>
              </w:rPr>
              <w:t xml:space="preserve"> „</w:t>
            </w:r>
            <w:r>
              <w:rPr>
                <w:rFonts w:ascii="Arial" w:hAnsi="Arial" w:cs="Arial"/>
                <w:b/>
                <w:bCs/>
                <w:sz w:val="24"/>
                <w:szCs w:val="24"/>
              </w:rPr>
              <w:t>Prüfkriterien in Milieuschutzgebieten</w:t>
            </w:r>
            <w:r>
              <w:rPr>
                <w:rFonts w:ascii="Arial" w:hAnsi="Arial" w:cs="Arial"/>
                <w:b/>
                <w:sz w:val="22"/>
              </w:rPr>
              <w:t>“</w:t>
            </w:r>
          </w:p>
          <w:p>
            <w:pPr>
              <w:ind w:left="72"/>
              <w:rPr>
                <w:rFonts w:ascii="Arial" w:hAnsi="Arial" w:cs="Arial"/>
                <w:b/>
                <w:sz w:val="22"/>
              </w:rPr>
            </w:pPr>
          </w:p>
          <w:p>
            <w:pPr>
              <w:ind w:left="72"/>
              <w:rPr>
                <w:rFonts w:ascii="Arial" w:hAnsi="Arial" w:cs="Arial"/>
                <w:sz w:val="22"/>
              </w:rPr>
            </w:pPr>
          </w:p>
        </w:tc>
      </w:tr>
      <w:tr>
        <w:tc>
          <w:tcPr>
            <w:tcW w:w="4361" w:type="dxa"/>
          </w:tcPr>
          <w:p>
            <w:pPr>
              <w:rPr>
                <w:rFonts w:ascii="Arial" w:hAnsi="Arial" w:cs="Arial"/>
                <w:sz w:val="22"/>
              </w:rPr>
            </w:pPr>
            <w:r>
              <w:rPr>
                <w:rFonts w:ascii="Arial" w:hAnsi="Arial" w:cs="Arial"/>
                <w:sz w:val="22"/>
              </w:rPr>
              <w:t>2.   Berichterstatter:</w:t>
            </w:r>
          </w:p>
        </w:tc>
        <w:tc>
          <w:tcPr>
            <w:tcW w:w="5103" w:type="dxa"/>
          </w:tcPr>
          <w:p>
            <w:pPr>
              <w:ind w:left="72"/>
              <w:rPr>
                <w:rFonts w:ascii="Arial" w:hAnsi="Arial" w:cs="Arial"/>
                <w:sz w:val="22"/>
              </w:rPr>
            </w:pPr>
            <w:r>
              <w:rPr>
                <w:rFonts w:ascii="Arial" w:hAnsi="Arial" w:cs="Arial"/>
                <w:sz w:val="22"/>
              </w:rPr>
              <w:t>Bezirksstadtrat Jörn Oltmann</w:t>
            </w:r>
          </w:p>
          <w:p>
            <w:pPr>
              <w:ind w:left="72"/>
              <w:rPr>
                <w:rFonts w:ascii="Arial" w:hAnsi="Arial" w:cs="Arial"/>
                <w:sz w:val="22"/>
              </w:rPr>
            </w:pPr>
          </w:p>
          <w:p>
            <w:pPr>
              <w:ind w:left="72"/>
              <w:rPr>
                <w:rFonts w:ascii="Arial" w:hAnsi="Arial" w:cs="Arial"/>
                <w:sz w:val="22"/>
              </w:rPr>
            </w:pPr>
          </w:p>
        </w:tc>
      </w:tr>
      <w:tr>
        <w:tc>
          <w:tcPr>
            <w:tcW w:w="4361" w:type="dxa"/>
          </w:tcPr>
          <w:p>
            <w:pPr>
              <w:rPr>
                <w:rFonts w:ascii="Arial" w:hAnsi="Arial" w:cs="Arial"/>
                <w:sz w:val="22"/>
              </w:rPr>
            </w:pPr>
            <w:r>
              <w:rPr>
                <w:rFonts w:ascii="Arial" w:hAnsi="Arial" w:cs="Arial"/>
                <w:sz w:val="22"/>
              </w:rPr>
              <w:t>3.   Beschluss:</w:t>
            </w:r>
          </w:p>
        </w:tc>
        <w:tc>
          <w:tcPr>
            <w:tcW w:w="5103" w:type="dxa"/>
          </w:tcPr>
          <w:p>
            <w:pPr>
              <w:ind w:left="72"/>
              <w:rPr>
                <w:rFonts w:ascii="Arial" w:hAnsi="Arial" w:cs="Arial"/>
                <w:sz w:val="22"/>
              </w:rPr>
            </w:pPr>
            <w:r>
              <w:rPr>
                <w:rFonts w:ascii="Arial" w:hAnsi="Arial" w:cs="Arial"/>
                <w:sz w:val="22"/>
              </w:rPr>
              <w:t xml:space="preserve">1) Das Bezirksamt beschließt die „Prüfkriterien in Milieuschutzgebieten“ </w:t>
            </w:r>
          </w:p>
          <w:p>
            <w:pPr>
              <w:ind w:left="72"/>
              <w:rPr>
                <w:rFonts w:ascii="Arial" w:hAnsi="Arial" w:cs="Arial"/>
                <w:sz w:val="22"/>
              </w:rPr>
            </w:pPr>
          </w:p>
          <w:p>
            <w:pPr>
              <w:ind w:left="72"/>
              <w:rPr>
                <w:rFonts w:ascii="Arial" w:hAnsi="Arial" w:cs="Arial"/>
                <w:sz w:val="22"/>
              </w:rPr>
            </w:pPr>
            <w:r>
              <w:rPr>
                <w:rFonts w:ascii="Arial" w:hAnsi="Arial" w:cs="Arial"/>
                <w:sz w:val="22"/>
              </w:rPr>
              <w:t xml:space="preserve">2) Das Bezirksamt beschließt die Aufhebung der in der Sitzung des Bezirksamts am 26.08.2014 beschlossenen Prüfkriterien für die Umsetzung der sozialen Erhaltungsverordnungen </w:t>
            </w:r>
          </w:p>
          <w:p>
            <w:pPr>
              <w:ind w:left="72"/>
              <w:rPr>
                <w:rFonts w:ascii="Arial" w:hAnsi="Arial" w:cs="Arial"/>
                <w:sz w:val="22"/>
              </w:rPr>
            </w:pPr>
          </w:p>
          <w:p>
            <w:pPr>
              <w:ind w:left="72"/>
              <w:rPr>
                <w:rFonts w:ascii="Arial" w:hAnsi="Arial" w:cs="Arial"/>
                <w:sz w:val="22"/>
              </w:rPr>
            </w:pPr>
            <w:r>
              <w:rPr>
                <w:rFonts w:ascii="Arial" w:hAnsi="Arial" w:cs="Arial"/>
                <w:sz w:val="22"/>
              </w:rPr>
              <w:t>3) Das Bezirksamt beschließt, die unter 1) und 2) gefassten Beschlüsse im Amtsblatt für Berlin zu veröffentlichen</w:t>
            </w:r>
          </w:p>
          <w:p>
            <w:pPr>
              <w:ind w:left="72"/>
              <w:rPr>
                <w:rFonts w:ascii="Arial" w:hAnsi="Arial" w:cs="Arial"/>
                <w:sz w:val="22"/>
              </w:rPr>
            </w:pPr>
          </w:p>
          <w:p>
            <w:pPr>
              <w:ind w:left="72"/>
              <w:rPr>
                <w:rFonts w:ascii="Arial" w:hAnsi="Arial" w:cs="Arial"/>
                <w:sz w:val="22"/>
              </w:rPr>
            </w:pPr>
          </w:p>
        </w:tc>
      </w:tr>
      <w:tr>
        <w:tc>
          <w:tcPr>
            <w:tcW w:w="4361" w:type="dxa"/>
          </w:tcPr>
          <w:p>
            <w:pPr>
              <w:rPr>
                <w:rFonts w:ascii="Arial" w:hAnsi="Arial" w:cs="Arial"/>
                <w:sz w:val="22"/>
              </w:rPr>
            </w:pPr>
            <w:r>
              <w:rPr>
                <w:rFonts w:ascii="Arial" w:hAnsi="Arial" w:cs="Arial"/>
                <w:sz w:val="22"/>
              </w:rPr>
              <w:t>4.   Begründung:</w:t>
            </w:r>
          </w:p>
        </w:tc>
        <w:tc>
          <w:tcPr>
            <w:tcW w:w="5103" w:type="dxa"/>
          </w:tcPr>
          <w:p>
            <w:pPr>
              <w:ind w:left="72"/>
              <w:rPr>
                <w:rFonts w:ascii="Arial" w:hAnsi="Arial" w:cs="Arial"/>
                <w:sz w:val="22"/>
              </w:rPr>
            </w:pPr>
            <w:r>
              <w:rPr>
                <w:rFonts w:ascii="Arial" w:hAnsi="Arial" w:cs="Arial"/>
                <w:sz w:val="22"/>
              </w:rPr>
              <w:t>Ist der Anlage zu entnehmen</w:t>
            </w:r>
          </w:p>
          <w:p>
            <w:pPr>
              <w:ind w:left="72"/>
              <w:rPr>
                <w:rFonts w:ascii="Arial" w:hAnsi="Arial" w:cs="Arial"/>
                <w:sz w:val="22"/>
              </w:rPr>
            </w:pPr>
          </w:p>
          <w:p>
            <w:pPr>
              <w:ind w:left="72"/>
              <w:rPr>
                <w:rFonts w:ascii="Arial" w:hAnsi="Arial" w:cs="Arial"/>
                <w:sz w:val="22"/>
              </w:rPr>
            </w:pPr>
          </w:p>
        </w:tc>
      </w:tr>
      <w:tr>
        <w:tc>
          <w:tcPr>
            <w:tcW w:w="4361" w:type="dxa"/>
          </w:tcPr>
          <w:p>
            <w:pPr>
              <w:rPr>
                <w:rFonts w:ascii="Arial" w:hAnsi="Arial" w:cs="Arial"/>
                <w:sz w:val="22"/>
              </w:rPr>
            </w:pPr>
            <w:r>
              <w:rPr>
                <w:rFonts w:ascii="Arial" w:hAnsi="Arial" w:cs="Arial"/>
                <w:sz w:val="22"/>
              </w:rPr>
              <w:t>5.    Rechtsgrundlage</w:t>
            </w:r>
          </w:p>
        </w:tc>
        <w:tc>
          <w:tcPr>
            <w:tcW w:w="5103" w:type="dxa"/>
          </w:tcPr>
          <w:p>
            <w:pPr>
              <w:ind w:left="72"/>
              <w:rPr>
                <w:rFonts w:ascii="Arial" w:hAnsi="Arial" w:cs="Arial"/>
                <w:sz w:val="22"/>
              </w:rPr>
            </w:pPr>
            <w:r>
              <w:rPr>
                <w:rFonts w:ascii="Arial" w:hAnsi="Arial" w:cs="Arial"/>
                <w:sz w:val="22"/>
              </w:rPr>
              <w:t>§ 36 (2) BezVG</w:t>
            </w:r>
          </w:p>
          <w:p>
            <w:pPr>
              <w:ind w:left="72"/>
              <w:rPr>
                <w:rFonts w:ascii="Arial" w:hAnsi="Arial" w:cs="Arial"/>
                <w:sz w:val="22"/>
              </w:rPr>
            </w:pPr>
          </w:p>
        </w:tc>
      </w:tr>
      <w:tr>
        <w:tc>
          <w:tcPr>
            <w:tcW w:w="4361" w:type="dxa"/>
          </w:tcPr>
          <w:p>
            <w:pPr>
              <w:rPr>
                <w:rFonts w:ascii="Arial" w:hAnsi="Arial" w:cs="Arial"/>
                <w:sz w:val="22"/>
              </w:rPr>
            </w:pPr>
            <w:r>
              <w:rPr>
                <w:rFonts w:ascii="Arial" w:hAnsi="Arial" w:cs="Arial"/>
                <w:sz w:val="22"/>
              </w:rPr>
              <w:t>6.    Auswirkungen auf die Gleichstellung</w:t>
            </w:r>
          </w:p>
          <w:p>
            <w:pPr>
              <w:rPr>
                <w:rFonts w:ascii="Arial" w:hAnsi="Arial" w:cs="Arial"/>
                <w:sz w:val="22"/>
              </w:rPr>
            </w:pPr>
            <w:r>
              <w:rPr>
                <w:rFonts w:ascii="Arial" w:hAnsi="Arial" w:cs="Arial"/>
                <w:sz w:val="22"/>
              </w:rPr>
              <w:t xml:space="preserve">       der Geschlechter</w:t>
            </w:r>
          </w:p>
        </w:tc>
        <w:tc>
          <w:tcPr>
            <w:tcW w:w="5103" w:type="dxa"/>
          </w:tcPr>
          <w:p>
            <w:pPr>
              <w:ind w:left="72"/>
              <w:rPr>
                <w:rFonts w:ascii="Arial" w:hAnsi="Arial" w:cs="Arial"/>
                <w:sz w:val="22"/>
              </w:rPr>
            </w:pPr>
            <w:r>
              <w:rPr>
                <w:rFonts w:ascii="Arial" w:hAnsi="Arial" w:cs="Arial"/>
                <w:sz w:val="22"/>
              </w:rPr>
              <w:t>Keine</w:t>
            </w:r>
          </w:p>
          <w:p>
            <w:pPr>
              <w:ind w:left="72"/>
              <w:rPr>
                <w:rFonts w:ascii="Arial" w:hAnsi="Arial" w:cs="Arial"/>
                <w:sz w:val="22"/>
              </w:rPr>
            </w:pPr>
          </w:p>
          <w:p>
            <w:pPr>
              <w:ind w:left="72"/>
              <w:rPr>
                <w:rFonts w:ascii="Arial" w:hAnsi="Arial" w:cs="Arial"/>
                <w:sz w:val="22"/>
              </w:rPr>
            </w:pPr>
          </w:p>
        </w:tc>
      </w:tr>
      <w:tr>
        <w:tc>
          <w:tcPr>
            <w:tcW w:w="4361" w:type="dxa"/>
          </w:tcPr>
          <w:p>
            <w:pPr>
              <w:rPr>
                <w:rFonts w:ascii="Arial" w:hAnsi="Arial" w:cs="Arial"/>
                <w:sz w:val="22"/>
              </w:rPr>
            </w:pPr>
            <w:r>
              <w:rPr>
                <w:rFonts w:ascii="Arial" w:hAnsi="Arial" w:cs="Arial"/>
                <w:sz w:val="22"/>
              </w:rPr>
              <w:t>7.    Haushaltsmäßige/</w:t>
            </w:r>
          </w:p>
          <w:p>
            <w:pPr>
              <w:rPr>
                <w:rFonts w:ascii="Arial" w:hAnsi="Arial" w:cs="Arial"/>
                <w:sz w:val="22"/>
              </w:rPr>
            </w:pPr>
            <w:r>
              <w:rPr>
                <w:rFonts w:ascii="Arial" w:hAnsi="Arial" w:cs="Arial"/>
                <w:sz w:val="22"/>
              </w:rPr>
              <w:t xml:space="preserve">       Personalwirtschaftliche Auswirkungen</w:t>
            </w:r>
          </w:p>
          <w:p>
            <w:pPr>
              <w:rPr>
                <w:rFonts w:ascii="Arial" w:hAnsi="Arial" w:cs="Arial"/>
                <w:sz w:val="22"/>
              </w:rPr>
            </w:pPr>
            <w:r>
              <w:rPr>
                <w:rFonts w:ascii="Arial" w:hAnsi="Arial" w:cs="Arial"/>
                <w:sz w:val="22"/>
              </w:rPr>
              <w:t xml:space="preserve">  </w:t>
            </w:r>
          </w:p>
        </w:tc>
        <w:tc>
          <w:tcPr>
            <w:tcW w:w="5103" w:type="dxa"/>
          </w:tcPr>
          <w:p>
            <w:pPr>
              <w:ind w:left="72"/>
              <w:rPr>
                <w:rFonts w:ascii="Arial" w:hAnsi="Arial" w:cs="Arial"/>
                <w:sz w:val="22"/>
              </w:rPr>
            </w:pPr>
            <w:r>
              <w:rPr>
                <w:rFonts w:ascii="Arial" w:hAnsi="Arial" w:cs="Arial"/>
                <w:sz w:val="22"/>
              </w:rPr>
              <w:t>Keine</w:t>
            </w:r>
          </w:p>
        </w:tc>
      </w:tr>
      <w:tr>
        <w:tc>
          <w:tcPr>
            <w:tcW w:w="4361" w:type="dxa"/>
          </w:tcPr>
          <w:p>
            <w:pPr>
              <w:rPr>
                <w:rFonts w:ascii="Arial" w:hAnsi="Arial" w:cs="Arial"/>
                <w:sz w:val="22"/>
              </w:rPr>
            </w:pPr>
            <w:r>
              <w:rPr>
                <w:rFonts w:ascii="Arial" w:hAnsi="Arial" w:cs="Arial"/>
                <w:sz w:val="22"/>
              </w:rPr>
              <w:t xml:space="preserve">8.    Nachhaltigkeit   </w:t>
            </w:r>
          </w:p>
          <w:p>
            <w:pPr>
              <w:rPr>
                <w:rFonts w:ascii="Arial" w:hAnsi="Arial" w:cs="Arial"/>
                <w:sz w:val="22"/>
              </w:rPr>
            </w:pPr>
          </w:p>
        </w:tc>
        <w:tc>
          <w:tcPr>
            <w:tcW w:w="5103" w:type="dxa"/>
          </w:tcPr>
          <w:p>
            <w:pPr>
              <w:ind w:left="72"/>
              <w:rPr>
                <w:rFonts w:ascii="Arial" w:hAnsi="Arial" w:cs="Arial"/>
                <w:sz w:val="22"/>
              </w:rPr>
            </w:pPr>
            <w:r>
              <w:rPr>
                <w:rFonts w:ascii="Arial" w:hAnsi="Arial" w:cs="Arial"/>
                <w:sz w:val="22"/>
              </w:rPr>
              <w:t>(siehe Anlage)</w:t>
            </w:r>
          </w:p>
        </w:tc>
      </w:tr>
      <w:tr>
        <w:tc>
          <w:tcPr>
            <w:tcW w:w="4361" w:type="dxa"/>
          </w:tcPr>
          <w:p>
            <w:pPr>
              <w:rPr>
                <w:rFonts w:ascii="Arial" w:hAnsi="Arial" w:cs="Arial"/>
                <w:sz w:val="22"/>
              </w:rPr>
            </w:pPr>
            <w:r>
              <w:rPr>
                <w:rFonts w:ascii="Arial" w:hAnsi="Arial" w:cs="Arial"/>
                <w:sz w:val="22"/>
              </w:rPr>
              <w:t>9.    Unterrichtung BVV</w:t>
            </w:r>
          </w:p>
          <w:p>
            <w:pPr>
              <w:rPr>
                <w:rFonts w:ascii="Arial" w:hAnsi="Arial" w:cs="Arial"/>
                <w:sz w:val="22"/>
              </w:rPr>
            </w:pPr>
          </w:p>
        </w:tc>
        <w:tc>
          <w:tcPr>
            <w:tcW w:w="5103" w:type="dxa"/>
          </w:tcPr>
          <w:p>
            <w:pPr>
              <w:ind w:left="72"/>
              <w:rPr>
                <w:rFonts w:ascii="Arial" w:hAnsi="Arial" w:cs="Arial"/>
                <w:sz w:val="22"/>
              </w:rPr>
            </w:pPr>
            <w:r>
              <w:rPr>
                <w:rFonts w:ascii="Arial" w:hAnsi="Arial" w:cs="Arial"/>
                <w:sz w:val="22"/>
              </w:rPr>
              <w:t>Mitteilung zur Kenntnisnahme</w:t>
            </w:r>
          </w:p>
        </w:tc>
      </w:tr>
      <w:tr>
        <w:tc>
          <w:tcPr>
            <w:tcW w:w="4361" w:type="dxa"/>
          </w:tcPr>
          <w:p>
            <w:pPr>
              <w:rPr>
                <w:rFonts w:ascii="Arial" w:hAnsi="Arial" w:cs="Arial"/>
                <w:sz w:val="22"/>
              </w:rPr>
            </w:pPr>
            <w:r>
              <w:rPr>
                <w:rFonts w:ascii="Arial" w:hAnsi="Arial" w:cs="Arial"/>
                <w:sz w:val="22"/>
              </w:rPr>
              <w:t>10.  Mitzeichnung</w:t>
            </w:r>
          </w:p>
        </w:tc>
        <w:tc>
          <w:tcPr>
            <w:tcW w:w="5103" w:type="dxa"/>
          </w:tcPr>
          <w:p>
            <w:pPr>
              <w:ind w:left="72"/>
              <w:rPr>
                <w:rFonts w:ascii="Arial" w:hAnsi="Arial" w:cs="Arial"/>
                <w:sz w:val="22"/>
              </w:rPr>
            </w:pPr>
            <w:r>
              <w:rPr>
                <w:rFonts w:ascii="Arial" w:hAnsi="Arial" w:cs="Arial"/>
                <w:sz w:val="22"/>
              </w:rPr>
              <w:t>Keine</w:t>
            </w:r>
          </w:p>
        </w:tc>
      </w:tr>
    </w:tbl>
    <w:p>
      <w:pPr>
        <w:rPr>
          <w:rFonts w:ascii="Arial" w:hAnsi="Arial" w:cs="Arial"/>
          <w:sz w:val="22"/>
        </w:rPr>
      </w:pPr>
    </w:p>
    <w:p>
      <w:pPr>
        <w:ind w:left="3540" w:hanging="3540"/>
        <w:rPr>
          <w:rFonts w:ascii="Arial" w:hAnsi="Arial" w:cs="Arial"/>
          <w:sz w:val="22"/>
        </w:rPr>
      </w:pPr>
    </w:p>
    <w:p>
      <w:pPr>
        <w:ind w:left="3540" w:hanging="3540"/>
        <w:rPr>
          <w:rFonts w:ascii="Arial" w:hAnsi="Arial" w:cs="Arial"/>
          <w:sz w:val="22"/>
        </w:rPr>
      </w:pPr>
    </w:p>
    <w:p>
      <w:pPr>
        <w:ind w:left="3540" w:hanging="3540"/>
        <w:rPr>
          <w:rFonts w:ascii="Arial" w:hAnsi="Arial" w:cs="Arial"/>
          <w:sz w:val="22"/>
        </w:rPr>
      </w:pPr>
    </w:p>
    <w:p>
      <w:pPr>
        <w:ind w:left="3540" w:hanging="3540"/>
        <w:rPr>
          <w:rFonts w:ascii="Arial" w:hAnsi="Arial" w:cs="Arial"/>
          <w:sz w:val="22"/>
        </w:rPr>
      </w:pPr>
    </w:p>
    <w:p>
      <w:pPr>
        <w:ind w:left="3540" w:hanging="3540"/>
        <w:rPr>
          <w:rFonts w:ascii="Arial" w:hAnsi="Arial" w:cs="Arial"/>
          <w:sz w:val="22"/>
        </w:rPr>
      </w:pPr>
      <w:r>
        <w:rPr>
          <w:rFonts w:ascii="Arial" w:hAnsi="Arial" w:cs="Arial"/>
          <w:sz w:val="22"/>
        </w:rPr>
        <w:t>Jörn Oltmann</w:t>
      </w:r>
    </w:p>
    <w:p>
      <w:pPr>
        <w:ind w:left="3540" w:hanging="3540"/>
        <w:rPr>
          <w:rFonts w:ascii="Arial" w:hAnsi="Arial" w:cs="Arial"/>
          <w:sz w:val="22"/>
        </w:rPr>
        <w:sectPr>
          <w:pgSz w:w="11906" w:h="16838"/>
          <w:pgMar w:top="1418" w:right="1418" w:bottom="1134" w:left="1418" w:header="720" w:footer="720" w:gutter="0"/>
          <w:cols w:space="720"/>
        </w:sectPr>
      </w:pPr>
      <w:r>
        <w:rPr>
          <w:rFonts w:ascii="Arial" w:hAnsi="Arial" w:cs="Arial"/>
          <w:sz w:val="22"/>
        </w:rPr>
        <w:t xml:space="preserve">Bezirksstadtrat </w:t>
      </w:r>
    </w:p>
    <w:p>
      <w:pPr>
        <w:pStyle w:val="berschrift1"/>
        <w:rPr>
          <w:rFonts w:cs="Arial"/>
          <w:sz w:val="22"/>
        </w:rPr>
      </w:pPr>
      <w:r>
        <w:rPr>
          <w:rFonts w:cs="Arial"/>
          <w:sz w:val="22"/>
        </w:rPr>
        <w:lastRenderedPageBreak/>
        <w:t>Musterblatt Auswirkungen von Bezirksamtsbeschlüssen auf eine nachhaltige Entwicklung im Sinne der Lokalen Agenda 21</w:t>
      </w:r>
    </w:p>
    <w:p>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977"/>
        <w:gridCol w:w="1188"/>
        <w:gridCol w:w="1443"/>
        <w:gridCol w:w="1442"/>
        <w:gridCol w:w="1172"/>
        <w:gridCol w:w="3156"/>
      </w:tblGrid>
      <w:tr>
        <w:tc>
          <w:tcPr>
            <w:tcW w:w="3047" w:type="dxa"/>
            <w:tcBorders>
              <w:top w:val="single" w:sz="4" w:space="0" w:color="auto"/>
              <w:left w:val="single" w:sz="4" w:space="0" w:color="auto"/>
              <w:bottom w:val="nil"/>
              <w:right w:val="single" w:sz="4" w:space="0" w:color="auto"/>
            </w:tcBorders>
            <w:shd w:val="clear" w:color="auto" w:fill="FFFF00"/>
          </w:tcPr>
          <w:p>
            <w:pPr>
              <w:rPr>
                <w:rFonts w:ascii="Arial" w:hAnsi="Arial" w:cs="Arial"/>
                <w:b/>
                <w:sz w:val="21"/>
              </w:rPr>
            </w:pPr>
            <w:r>
              <w:rPr>
                <w:rFonts w:ascii="Arial" w:hAnsi="Arial" w:cs="Arial"/>
                <w:b/>
                <w:sz w:val="21"/>
              </w:rPr>
              <w:t>Nachhaltigkeitskriterium</w:t>
            </w:r>
          </w:p>
        </w:tc>
        <w:tc>
          <w:tcPr>
            <w:tcW w:w="2977" w:type="dxa"/>
            <w:tcBorders>
              <w:top w:val="single" w:sz="4" w:space="0" w:color="auto"/>
              <w:left w:val="single" w:sz="4" w:space="0" w:color="auto"/>
              <w:bottom w:val="nil"/>
              <w:right w:val="single" w:sz="4" w:space="0" w:color="auto"/>
            </w:tcBorders>
            <w:shd w:val="clear" w:color="auto" w:fill="FFFF00"/>
          </w:tcPr>
          <w:p>
            <w:pPr>
              <w:rPr>
                <w:rFonts w:ascii="Arial" w:hAnsi="Arial" w:cs="Arial"/>
                <w:b/>
                <w:sz w:val="21"/>
              </w:rPr>
            </w:pPr>
            <w:r>
              <w:rPr>
                <w:rFonts w:ascii="Arial" w:hAnsi="Arial" w:cs="Arial"/>
                <w:b/>
                <w:sz w:val="21"/>
              </w:rPr>
              <w:t>keine Auswirkungen</w:t>
            </w:r>
          </w:p>
        </w:tc>
        <w:tc>
          <w:tcPr>
            <w:tcW w:w="2631" w:type="dxa"/>
            <w:gridSpan w:val="2"/>
            <w:tcBorders>
              <w:top w:val="single" w:sz="4" w:space="0" w:color="auto"/>
              <w:left w:val="single" w:sz="4" w:space="0" w:color="auto"/>
              <w:bottom w:val="nil"/>
              <w:right w:val="single" w:sz="4" w:space="0" w:color="auto"/>
            </w:tcBorders>
            <w:shd w:val="clear" w:color="auto" w:fill="FFFF00"/>
          </w:tcPr>
          <w:p>
            <w:pPr>
              <w:rPr>
                <w:rFonts w:ascii="Arial" w:hAnsi="Arial" w:cs="Arial"/>
                <w:b/>
                <w:sz w:val="21"/>
              </w:rPr>
            </w:pPr>
            <w:r>
              <w:rPr>
                <w:rFonts w:ascii="Arial" w:hAnsi="Arial" w:cs="Arial"/>
                <w:b/>
                <w:sz w:val="21"/>
              </w:rPr>
              <w:t>positive Auswirkungen</w:t>
            </w:r>
          </w:p>
        </w:tc>
        <w:tc>
          <w:tcPr>
            <w:tcW w:w="2614" w:type="dxa"/>
            <w:gridSpan w:val="2"/>
            <w:tcBorders>
              <w:top w:val="single" w:sz="4" w:space="0" w:color="auto"/>
              <w:left w:val="single" w:sz="4" w:space="0" w:color="auto"/>
              <w:bottom w:val="nil"/>
              <w:right w:val="single" w:sz="4" w:space="0" w:color="auto"/>
            </w:tcBorders>
            <w:shd w:val="clear" w:color="auto" w:fill="FFFF00"/>
          </w:tcPr>
          <w:p>
            <w:pPr>
              <w:rPr>
                <w:rFonts w:ascii="Arial" w:hAnsi="Arial" w:cs="Arial"/>
                <w:b/>
                <w:sz w:val="21"/>
              </w:rPr>
            </w:pPr>
            <w:r>
              <w:rPr>
                <w:rFonts w:ascii="Arial" w:hAnsi="Arial" w:cs="Arial"/>
                <w:b/>
                <w:sz w:val="21"/>
              </w:rPr>
              <w:t>negative Auswirkungen</w:t>
            </w:r>
          </w:p>
        </w:tc>
        <w:tc>
          <w:tcPr>
            <w:tcW w:w="3156" w:type="dxa"/>
            <w:tcBorders>
              <w:top w:val="single" w:sz="4" w:space="0" w:color="auto"/>
              <w:left w:val="single" w:sz="4" w:space="0" w:color="auto"/>
              <w:bottom w:val="nil"/>
              <w:right w:val="single" w:sz="4" w:space="0" w:color="auto"/>
            </w:tcBorders>
            <w:shd w:val="clear" w:color="auto" w:fill="FFFF00"/>
          </w:tcPr>
          <w:p>
            <w:pPr>
              <w:pStyle w:val="berschrift2"/>
              <w:rPr>
                <w:rFonts w:cs="Arial"/>
                <w:sz w:val="21"/>
              </w:rPr>
            </w:pPr>
            <w:r>
              <w:rPr>
                <w:rFonts w:cs="Arial"/>
                <w:sz w:val="21"/>
              </w:rPr>
              <w:t>Bemerkungen</w:t>
            </w:r>
          </w:p>
        </w:tc>
      </w:tr>
      <w:tr>
        <w:tc>
          <w:tcPr>
            <w:tcW w:w="3047" w:type="dxa"/>
            <w:tcBorders>
              <w:top w:val="nil"/>
              <w:left w:val="single" w:sz="4" w:space="0" w:color="auto"/>
              <w:bottom w:val="single" w:sz="4" w:space="0" w:color="auto"/>
              <w:right w:val="single" w:sz="4" w:space="0" w:color="auto"/>
            </w:tcBorders>
            <w:shd w:val="clear" w:color="auto" w:fill="FFFF00"/>
          </w:tcPr>
          <w:p>
            <w:pPr>
              <w:rPr>
                <w:rFonts w:ascii="Arial" w:hAnsi="Arial" w:cs="Arial"/>
              </w:rPr>
            </w:pPr>
          </w:p>
        </w:tc>
        <w:tc>
          <w:tcPr>
            <w:tcW w:w="2977" w:type="dxa"/>
            <w:tcBorders>
              <w:top w:val="nil"/>
              <w:left w:val="single" w:sz="4" w:space="0" w:color="auto"/>
              <w:bottom w:val="single" w:sz="4" w:space="0" w:color="auto"/>
              <w:right w:val="single" w:sz="4" w:space="0" w:color="auto"/>
            </w:tcBorders>
            <w:shd w:val="clear" w:color="auto" w:fill="FFFF00"/>
          </w:tcPr>
          <w:p>
            <w:pPr>
              <w:rPr>
                <w:rFonts w:ascii="Arial" w:hAnsi="Arial" w:cs="Arial"/>
                <w:b/>
              </w:rPr>
            </w:pPr>
          </w:p>
        </w:tc>
        <w:tc>
          <w:tcPr>
            <w:tcW w:w="1188" w:type="dxa"/>
            <w:tcBorders>
              <w:top w:val="nil"/>
              <w:left w:val="single" w:sz="4" w:space="0" w:color="auto"/>
              <w:bottom w:val="single" w:sz="4" w:space="0" w:color="auto"/>
              <w:right w:val="single" w:sz="4" w:space="0" w:color="auto"/>
            </w:tcBorders>
            <w:shd w:val="clear" w:color="auto" w:fill="FFFF00"/>
          </w:tcPr>
          <w:p>
            <w:pPr>
              <w:rPr>
                <w:rFonts w:ascii="Arial" w:hAnsi="Arial" w:cs="Arial"/>
                <w:b/>
              </w:rPr>
            </w:pPr>
          </w:p>
          <w:p>
            <w:pPr>
              <w:rPr>
                <w:rFonts w:ascii="Arial" w:hAnsi="Arial" w:cs="Arial"/>
                <w:b/>
              </w:rPr>
            </w:pPr>
            <w:r>
              <w:rPr>
                <w:rFonts w:ascii="Arial" w:hAnsi="Arial" w:cs="Arial"/>
                <w:b/>
              </w:rPr>
              <w:t>quantitativ</w:t>
            </w:r>
          </w:p>
        </w:tc>
        <w:tc>
          <w:tcPr>
            <w:tcW w:w="1443" w:type="dxa"/>
            <w:tcBorders>
              <w:top w:val="nil"/>
              <w:left w:val="single" w:sz="4" w:space="0" w:color="auto"/>
              <w:bottom w:val="single" w:sz="4" w:space="0" w:color="auto"/>
              <w:right w:val="single" w:sz="4" w:space="0" w:color="auto"/>
            </w:tcBorders>
            <w:shd w:val="clear" w:color="auto" w:fill="FFFF00"/>
          </w:tcPr>
          <w:p>
            <w:pPr>
              <w:rPr>
                <w:rFonts w:ascii="Arial" w:hAnsi="Arial" w:cs="Arial"/>
                <w:b/>
              </w:rPr>
            </w:pPr>
          </w:p>
          <w:p>
            <w:pPr>
              <w:rPr>
                <w:rFonts w:ascii="Arial" w:hAnsi="Arial" w:cs="Arial"/>
                <w:b/>
              </w:rPr>
            </w:pPr>
            <w:r>
              <w:rPr>
                <w:rFonts w:ascii="Arial" w:hAnsi="Arial" w:cs="Arial"/>
                <w:b/>
              </w:rPr>
              <w:t>qualitativ</w:t>
            </w:r>
          </w:p>
        </w:tc>
        <w:tc>
          <w:tcPr>
            <w:tcW w:w="1442" w:type="dxa"/>
            <w:tcBorders>
              <w:top w:val="nil"/>
              <w:left w:val="single" w:sz="4" w:space="0" w:color="auto"/>
              <w:bottom w:val="single" w:sz="4" w:space="0" w:color="auto"/>
              <w:right w:val="single" w:sz="4" w:space="0" w:color="auto"/>
            </w:tcBorders>
            <w:shd w:val="clear" w:color="auto" w:fill="FFFF00"/>
          </w:tcPr>
          <w:p>
            <w:pPr>
              <w:rPr>
                <w:rFonts w:ascii="Arial" w:hAnsi="Arial" w:cs="Arial"/>
                <w:b/>
              </w:rPr>
            </w:pPr>
          </w:p>
          <w:p>
            <w:pPr>
              <w:rPr>
                <w:rFonts w:ascii="Arial" w:hAnsi="Arial" w:cs="Arial"/>
                <w:b/>
              </w:rPr>
            </w:pPr>
            <w:r>
              <w:rPr>
                <w:rFonts w:ascii="Arial" w:hAnsi="Arial" w:cs="Arial"/>
                <w:b/>
              </w:rPr>
              <w:t>quantitativ</w:t>
            </w:r>
          </w:p>
        </w:tc>
        <w:tc>
          <w:tcPr>
            <w:tcW w:w="1172" w:type="dxa"/>
            <w:tcBorders>
              <w:top w:val="nil"/>
              <w:left w:val="single" w:sz="4" w:space="0" w:color="auto"/>
              <w:bottom w:val="single" w:sz="4" w:space="0" w:color="auto"/>
              <w:right w:val="single" w:sz="4" w:space="0" w:color="auto"/>
            </w:tcBorders>
            <w:shd w:val="clear" w:color="auto" w:fill="FFFF00"/>
          </w:tcPr>
          <w:p>
            <w:pPr>
              <w:rPr>
                <w:rFonts w:ascii="Arial" w:hAnsi="Arial" w:cs="Arial"/>
                <w:b/>
              </w:rPr>
            </w:pPr>
          </w:p>
          <w:p>
            <w:pPr>
              <w:rPr>
                <w:rFonts w:ascii="Arial" w:hAnsi="Arial" w:cs="Arial"/>
                <w:b/>
              </w:rPr>
            </w:pPr>
            <w:r>
              <w:rPr>
                <w:rFonts w:ascii="Arial" w:hAnsi="Arial" w:cs="Arial"/>
                <w:b/>
              </w:rPr>
              <w:t>qualitativ</w:t>
            </w:r>
          </w:p>
        </w:tc>
        <w:tc>
          <w:tcPr>
            <w:tcW w:w="3156" w:type="dxa"/>
            <w:tcBorders>
              <w:top w:val="nil"/>
              <w:left w:val="single" w:sz="4" w:space="0" w:color="auto"/>
              <w:bottom w:val="single" w:sz="4" w:space="0" w:color="auto"/>
              <w:right w:val="single" w:sz="4" w:space="0" w:color="auto"/>
            </w:tcBorders>
            <w:shd w:val="clear" w:color="auto" w:fill="FFFF00"/>
          </w:tcPr>
          <w:p>
            <w:pPr>
              <w:rPr>
                <w:rFonts w:ascii="Arial" w:hAnsi="Arial" w:cs="Arial"/>
                <w:b/>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 Fläche</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2.  Wasser</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3.  Energie</w:t>
            </w:r>
          </w:p>
          <w:p>
            <w:pPr>
              <w:pStyle w:val="Textkrper"/>
            </w:pPr>
            <w:r>
              <w:rPr>
                <w:sz w:val="19"/>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4.  Abfall</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5.  Verkehr</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6.  Immissionen</w:t>
            </w:r>
          </w:p>
          <w:p>
            <w:pPr>
              <w:rPr>
                <w:rFonts w:ascii="Arial" w:hAnsi="Arial" w:cs="Arial"/>
                <w:sz w:val="19"/>
              </w:rPr>
            </w:pPr>
            <w:r>
              <w:rPr>
                <w:rFonts w:ascii="Arial" w:hAnsi="Arial" w:cs="Arial"/>
                <w:sz w:val="19"/>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 xml:space="preserve">7.  Einschränkung von Fauna </w:t>
            </w:r>
            <w:r>
              <w:rPr>
                <w:rFonts w:ascii="Arial" w:hAnsi="Arial" w:cs="Arial"/>
                <w:sz w:val="19"/>
              </w:rPr>
              <w:br/>
              <w:t xml:space="preserve">     und Flora</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8.  Bildungsangebot</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9.  Kulturangebot</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10. Freizeitangebot</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pStyle w:val="Textkrper-Zeileneinzug"/>
            </w:pPr>
            <w:r>
              <w:t>11. Partizipation in Entschei-</w:t>
            </w:r>
            <w:r>
              <w:br/>
              <w:t xml:space="preserve">      dungsprozessen </w:t>
            </w: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12. Arbeitslosenquote</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13. Ausbildungsplätze</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14. Betriebsansiedlungen</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 xml:space="preserve">15. Wirtschaftl. Diversifizierung </w:t>
            </w:r>
            <w:r>
              <w:rPr>
                <w:rFonts w:ascii="Arial" w:hAnsi="Arial" w:cs="Arial"/>
                <w:sz w:val="19"/>
              </w:rPr>
              <w:br/>
              <w:t xml:space="preserve">      nach Branchen</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r>
        <w:tc>
          <w:tcPr>
            <w:tcW w:w="3047" w:type="dxa"/>
            <w:tcBorders>
              <w:top w:val="single" w:sz="4" w:space="0" w:color="auto"/>
              <w:left w:val="single" w:sz="4" w:space="0" w:color="auto"/>
              <w:bottom w:val="single" w:sz="4" w:space="0" w:color="auto"/>
              <w:right w:val="single" w:sz="4" w:space="0" w:color="auto"/>
            </w:tcBorders>
          </w:tcPr>
          <w:p>
            <w:pPr>
              <w:rPr>
                <w:rFonts w:ascii="Arial" w:hAnsi="Arial" w:cs="Arial"/>
                <w:sz w:val="19"/>
              </w:rPr>
            </w:pPr>
            <w:r>
              <w:rPr>
                <w:rFonts w:ascii="Arial" w:hAnsi="Arial" w:cs="Arial"/>
                <w:sz w:val="19"/>
              </w:rPr>
              <w:t>16. Demografischer Wandel</w:t>
            </w:r>
          </w:p>
          <w:p>
            <w:pPr>
              <w:rPr>
                <w:rFonts w:ascii="Arial" w:hAnsi="Arial" w:cs="Arial"/>
                <w:sz w:val="19"/>
              </w:rPr>
            </w:pPr>
          </w:p>
        </w:tc>
        <w:tc>
          <w:tcPr>
            <w:tcW w:w="2977"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443"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r>
              <w:rPr>
                <w:rFonts w:ascii="Arial" w:hAnsi="Arial" w:cs="Arial"/>
                <w:sz w:val="19"/>
              </w:rPr>
              <w:t>x</w:t>
            </w:r>
          </w:p>
        </w:tc>
        <w:tc>
          <w:tcPr>
            <w:tcW w:w="144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117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c>
          <w:tcPr>
            <w:tcW w:w="3156"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19"/>
              </w:rPr>
            </w:pPr>
          </w:p>
        </w:tc>
      </w:tr>
    </w:tbl>
    <w:p>
      <w:pPr>
        <w:rPr>
          <w:rFonts w:ascii="Arial" w:hAnsi="Arial" w:cs="Arial"/>
          <w:sz w:val="22"/>
        </w:rPr>
      </w:pPr>
    </w:p>
    <w:p>
      <w:pPr>
        <w:rPr>
          <w:rFonts w:ascii="Arial" w:hAnsi="Arial" w:cs="Arial"/>
        </w:rPr>
      </w:pPr>
      <w:r>
        <w:rPr>
          <w:rFonts w:ascii="Arial" w:hAnsi="Arial" w:cs="Arial"/>
          <w:sz w:val="22"/>
        </w:rPr>
        <w:t>Entsprechende Auswirkungen sind lediglich anzukreuzen.</w:t>
      </w:r>
    </w:p>
    <w:p>
      <w:pPr>
        <w:jc w:val="center"/>
        <w:rPr>
          <w:rFonts w:ascii="Arial" w:hAnsi="Arial" w:cs="Arial"/>
        </w:rPr>
      </w:pPr>
      <w:r>
        <w:rPr>
          <w:rFonts w:ascii="Arial" w:hAnsi="Arial" w:cs="Arial"/>
        </w:rPr>
        <w:t xml:space="preserve"> </w:t>
      </w:r>
    </w:p>
    <w:p>
      <w:pPr>
        <w:pStyle w:val="berschrift3"/>
        <w:jc w:val="center"/>
        <w:sectPr>
          <w:pgSz w:w="16838" w:h="11906" w:orient="landscape"/>
          <w:pgMar w:top="1134" w:right="1418" w:bottom="851" w:left="1134" w:header="720" w:footer="720" w:gutter="0"/>
          <w:cols w:space="720"/>
        </w:sectPr>
      </w:pPr>
    </w:p>
    <w:p>
      <w:pPr>
        <w:pStyle w:val="berschrift3"/>
      </w:pPr>
    </w:p>
    <w:p>
      <w:pPr>
        <w:pStyle w:val="berschrift3"/>
        <w:jc w:val="center"/>
      </w:pPr>
      <w:r>
        <w:t>DRUCKSACHEN</w:t>
      </w:r>
    </w:p>
    <w:p>
      <w:pPr>
        <w:jc w:val="center"/>
        <w:rPr>
          <w:rFonts w:ascii="Arial" w:hAnsi="Arial" w:cs="Arial"/>
        </w:rPr>
      </w:pPr>
    </w:p>
    <w:p>
      <w:pPr>
        <w:jc w:val="center"/>
        <w:rPr>
          <w:rFonts w:ascii="Arial" w:hAnsi="Arial" w:cs="Arial"/>
          <w:b/>
        </w:rPr>
      </w:pPr>
      <w:r>
        <w:rPr>
          <w:rFonts w:ascii="Arial" w:hAnsi="Arial" w:cs="Arial"/>
          <w:b/>
        </w:rPr>
        <w:t>DER BEZIRKSVERORDNETENVERSAMMLUNG TEMPELHOF-SCHÖNEBERG</w:t>
      </w:r>
    </w:p>
    <w:p>
      <w:pPr>
        <w:jc w:val="center"/>
        <w:rPr>
          <w:rFonts w:ascii="Arial" w:hAnsi="Arial" w:cs="Arial"/>
          <w:b/>
        </w:rPr>
      </w:pPr>
      <w:r>
        <w:rPr>
          <w:rFonts w:ascii="Arial" w:hAnsi="Arial" w:cs="Arial"/>
          <w:b/>
        </w:rPr>
        <w:t>VON BERLIN</w:t>
      </w:r>
    </w:p>
    <w:p>
      <w:pPr>
        <w:jc w:val="center"/>
        <w:rPr>
          <w:rFonts w:ascii="Arial" w:hAnsi="Arial" w:cs="Arial"/>
          <w:b/>
        </w:rPr>
      </w:pPr>
      <w:r>
        <w:rPr>
          <w:rFonts w:ascii="Arial" w:hAnsi="Arial" w:cs="Arial"/>
          <w:b/>
        </w:rPr>
        <w:t>- XX. WAHLPERIODE -</w:t>
      </w:r>
    </w:p>
    <w:p>
      <w:pPr>
        <w:rPr>
          <w:rFonts w:ascii="Arial" w:hAnsi="Arial" w:cs="Arial"/>
          <w:b/>
        </w:rPr>
      </w:pPr>
    </w:p>
    <w:p>
      <w:pPr>
        <w:pBdr>
          <w:top w:val="single" w:sz="4" w:space="1" w:color="auto"/>
        </w:pBdr>
        <w:rPr>
          <w:rFonts w:ascii="Arial" w:hAnsi="Arial" w:cs="Arial"/>
          <w:b/>
          <w:sz w:val="22"/>
          <w:szCs w:val="22"/>
        </w:rPr>
      </w:pPr>
    </w:p>
    <w:p>
      <w:pPr>
        <w:pBdr>
          <w:top w:val="single" w:sz="4" w:space="1" w:color="auto"/>
        </w:pBd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Lfd.-Nr.:</w:t>
      </w:r>
    </w:p>
    <w:p>
      <w:pPr>
        <w:pBdr>
          <w:top w:val="single" w:sz="4" w:space="1" w:color="auto"/>
        </w:pBd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Drs.-Nr.: </w:t>
      </w:r>
    </w:p>
    <w:p>
      <w:pPr>
        <w:pBdr>
          <w:top w:val="single" w:sz="4" w:space="1" w:color="auto"/>
        </w:pBdr>
        <w:rPr>
          <w:rFonts w:ascii="Arial" w:hAnsi="Arial" w:cs="Arial"/>
          <w:sz w:val="22"/>
          <w:szCs w:val="22"/>
        </w:rPr>
      </w:pPr>
    </w:p>
    <w:p>
      <w:pPr>
        <w:pBdr>
          <w:top w:val="single" w:sz="4" w:space="1" w:color="auto"/>
        </w:pBdr>
        <w:rPr>
          <w:rFonts w:ascii="Arial" w:hAnsi="Arial" w:cs="Arial"/>
          <w:sz w:val="22"/>
          <w:szCs w:val="22"/>
        </w:rPr>
      </w:pPr>
    </w:p>
    <w:p>
      <w:pPr>
        <w:pStyle w:val="berschrift2"/>
        <w:rPr>
          <w:rFonts w:cs="Arial"/>
          <w:sz w:val="28"/>
        </w:rPr>
      </w:pPr>
      <w:r>
        <w:rPr>
          <w:rFonts w:cs="Arial"/>
          <w:sz w:val="28"/>
        </w:rPr>
        <w:t>M I T T E I L U N G - zur Kenntnisnahme -</w:t>
      </w:r>
    </w:p>
    <w:p>
      <w:pPr>
        <w:rPr>
          <w:rFonts w:ascii="Arial" w:hAnsi="Arial" w:cs="Arial"/>
        </w:rPr>
      </w:pPr>
    </w:p>
    <w:p>
      <w:pPr>
        <w:ind w:firstLine="708"/>
        <w:rPr>
          <w:rFonts w:ascii="Arial" w:hAnsi="Arial" w:cs="Arial"/>
          <w:sz w:val="22"/>
          <w:szCs w:val="22"/>
        </w:rPr>
      </w:pPr>
      <w:r>
        <w:rPr>
          <w:rFonts w:ascii="Arial" w:hAnsi="Arial" w:cs="Arial"/>
          <w:sz w:val="22"/>
          <w:szCs w:val="22"/>
        </w:rPr>
        <w:t xml:space="preserve">des Bezirksamtes Tempelhof-Schöneberg von Berlin </w:t>
      </w:r>
    </w:p>
    <w:p>
      <w:pPr>
        <w:pStyle w:val="Fuzeile"/>
        <w:tabs>
          <w:tab w:val="clear" w:pos="4819"/>
          <w:tab w:val="clear" w:pos="9071"/>
        </w:tabs>
        <w:ind w:firstLine="708"/>
        <w:rPr>
          <w:rFonts w:ascii="Arial" w:hAnsi="Arial" w:cs="Arial"/>
          <w:sz w:val="22"/>
          <w:szCs w:val="22"/>
        </w:rPr>
      </w:pPr>
      <w:r>
        <w:rPr>
          <w:rFonts w:ascii="Arial" w:hAnsi="Arial" w:cs="Arial"/>
          <w:sz w:val="22"/>
          <w:szCs w:val="22"/>
        </w:rPr>
        <w:t>über den Bezirksamtsbeschluss vom 23.06.2020 über die</w:t>
      </w:r>
    </w:p>
    <w:p>
      <w:pPr>
        <w:pStyle w:val="Fuzeile"/>
        <w:tabs>
          <w:tab w:val="clear" w:pos="4819"/>
          <w:tab w:val="clear" w:pos="9071"/>
        </w:tabs>
        <w:ind w:firstLine="708"/>
        <w:rPr>
          <w:rFonts w:ascii="Arial" w:hAnsi="Arial" w:cs="Arial"/>
          <w:sz w:val="22"/>
          <w:szCs w:val="22"/>
        </w:rPr>
      </w:pPr>
    </w:p>
    <w:p>
      <w:pPr>
        <w:pStyle w:val="Fuzeile"/>
        <w:tabs>
          <w:tab w:val="clear" w:pos="4819"/>
          <w:tab w:val="clear" w:pos="9071"/>
        </w:tabs>
        <w:ind w:firstLine="708"/>
        <w:rPr>
          <w:rFonts w:ascii="Arial" w:hAnsi="Arial" w:cs="Arial"/>
          <w:sz w:val="22"/>
          <w:szCs w:val="22"/>
        </w:rPr>
      </w:pPr>
      <w:r>
        <w:rPr>
          <w:rFonts w:ascii="Arial" w:hAnsi="Arial" w:cs="Arial"/>
          <w:b/>
          <w:bCs/>
          <w:szCs w:val="24"/>
        </w:rPr>
        <w:t>„Prüfkriterien in Milieuschutzgebieten“</w:t>
      </w:r>
    </w:p>
    <w:p>
      <w:pPr>
        <w:rPr>
          <w:rFonts w:ascii="Arial" w:hAnsi="Arial" w:cs="Arial"/>
          <w:sz w:val="22"/>
          <w:szCs w:val="22"/>
        </w:rPr>
      </w:pPr>
    </w:p>
    <w:p>
      <w:pPr>
        <w:jc w:val="both"/>
        <w:rPr>
          <w:rFonts w:ascii="Arial" w:hAnsi="Arial" w:cs="Arial"/>
          <w:sz w:val="24"/>
          <w:szCs w:val="24"/>
        </w:rPr>
      </w:pPr>
    </w:p>
    <w:p>
      <w:pPr>
        <w:jc w:val="both"/>
        <w:rPr>
          <w:rFonts w:ascii="Arial" w:hAnsi="Arial" w:cs="Arial"/>
          <w:b/>
          <w:sz w:val="24"/>
          <w:szCs w:val="24"/>
        </w:rPr>
      </w:pPr>
      <w:bookmarkStart w:id="0" w:name="_GoBack"/>
      <w:bookmarkEnd w:id="0"/>
      <w:r>
        <w:rPr>
          <w:rFonts w:ascii="Arial" w:hAnsi="Arial" w:cs="Arial"/>
          <w:b/>
          <w:sz w:val="24"/>
          <w:szCs w:val="24"/>
        </w:rPr>
        <w:t>Prüfkriterien für die Beurteilung von Anträgen auf Rückbau, Änderung oder Nutzungsänderung baulicher Anlagen in den Erhaltungsgebieten nach § 172 Absatz 1 Satz 1 Nummer 2 des Baugesetzbuchs (soziale Erhaltungsgebiete) im Bezirk Tempelhof-Schöneberg von Berlin</w:t>
      </w:r>
    </w:p>
    <w:p>
      <w:pPr>
        <w:rPr>
          <w:rFonts w:ascii="Arial" w:hAnsi="Arial" w:cs="Arial"/>
          <w:sz w:val="24"/>
          <w:szCs w:val="24"/>
        </w:rPr>
      </w:pPr>
    </w:p>
    <w:p>
      <w:pPr>
        <w:rPr>
          <w:rFonts w:ascii="Arial" w:hAnsi="Arial" w:cs="Arial"/>
          <w:sz w:val="24"/>
          <w:szCs w:val="24"/>
        </w:rPr>
      </w:pPr>
      <w:r>
        <w:rPr>
          <w:rFonts w:ascii="Arial" w:hAnsi="Arial" w:cs="Arial"/>
          <w:sz w:val="24"/>
          <w:szCs w:val="24"/>
        </w:rPr>
        <w:t xml:space="preserve">Das Bezirksamt Tempelhof-Schöneberg von Berlin hat in seiner Sitzung am 23.06.2020 durch Beschluss die Beurteilung von Anträgen auf Rückbau, Änderung oder Nutzungsänderung baulicher Anlagen in den sozialen Erhaltungsgebieten des Bezirks Tempelhof-Schöneberg gemäß § 172 Absatz 1 Satz 1 Nummer 2 des Baugesetzbuchs (BauGB) neu festgelegt. </w:t>
      </w:r>
    </w:p>
    <w:p>
      <w:pPr>
        <w:rPr>
          <w:rFonts w:ascii="Arial" w:hAnsi="Arial" w:cs="Arial"/>
          <w:sz w:val="24"/>
          <w:szCs w:val="24"/>
        </w:rPr>
      </w:pPr>
      <w:r>
        <w:rPr>
          <w:rFonts w:ascii="Arial" w:hAnsi="Arial" w:cs="Arial"/>
          <w:sz w:val="24"/>
          <w:szCs w:val="24"/>
        </w:rPr>
        <w:t>Durch diesen Beschluss wird der Bezirksamtsbeschluss über die „Prüfkriterien für die Umsetzung der sozialen Erhaltungsverordnungen in den Erhaltungsgebieten nach § 172 Abs. 1 Satz 1 Nr. 2 BauGB im Bezirk Tempelhof-Schöneberg“ vom 26. August 2014, Bekanntmachung im Amtsblatt für Berlin Nummer 38 vom 12. September 2014 (ABl. S. 1754) aufgehoben.</w:t>
      </w:r>
    </w:p>
    <w:p>
      <w:pPr>
        <w:rPr>
          <w:rFonts w:ascii="Arial" w:hAnsi="Arial" w:cs="Arial"/>
          <w:sz w:val="24"/>
          <w:szCs w:val="24"/>
        </w:rPr>
      </w:pPr>
      <w:r>
        <w:rPr>
          <w:rFonts w:ascii="Arial" w:hAnsi="Arial" w:cs="Arial"/>
          <w:sz w:val="24"/>
          <w:szCs w:val="24"/>
        </w:rPr>
        <w:t>Ziel der Erhaltungsverordnung ist es, in deren Geltungsbereichen die Zusammenset</w:t>
      </w:r>
      <w:r>
        <w:rPr>
          <w:rFonts w:ascii="Arial" w:hAnsi="Arial" w:cs="Arial"/>
          <w:sz w:val="24"/>
          <w:szCs w:val="24"/>
        </w:rPr>
        <w:softHyphen/>
        <w:t>zung der Wohnbevölkerung zu erhalten. Den in einem intakten Gebiet wohnenden Menschen soll der Bestand der Umgebung gesichert und so die Bevölkerungs</w:t>
      </w:r>
      <w:r>
        <w:rPr>
          <w:rFonts w:ascii="Arial" w:hAnsi="Arial" w:cs="Arial"/>
          <w:sz w:val="24"/>
          <w:szCs w:val="24"/>
        </w:rPr>
        <w:softHyphen/>
        <w:t>struktur in einem bestimmten Ortsteil vor unerwünschten Veränderungen geschützt werden (BVerfG, DVBl. 1987, 465). Daher dürfen geplante Maßnahmen vorhandenen Wohnraum nicht derart verändern, dass er für die im Gebiet ansässige Wohnbevölke</w:t>
      </w:r>
      <w:r>
        <w:rPr>
          <w:rFonts w:ascii="Arial" w:hAnsi="Arial" w:cs="Arial"/>
          <w:sz w:val="24"/>
          <w:szCs w:val="24"/>
        </w:rPr>
        <w:softHyphen/>
        <w:t>rung nicht mehr geeignet ist. Entscheidend sind die Auswirkungen auf den Bestand, die Größe und die Ausstattung des vorhandenen Wohnraums. Der Genehmigungs</w:t>
      </w:r>
      <w:r>
        <w:rPr>
          <w:rFonts w:ascii="Arial" w:hAnsi="Arial" w:cs="Arial"/>
          <w:sz w:val="24"/>
          <w:szCs w:val="24"/>
        </w:rPr>
        <w:softHyphen/>
        <w:t>pflicht unterliegen sowohl bewohnte als auch leerstehende Wohnungen.</w:t>
      </w:r>
    </w:p>
    <w:p>
      <w:pPr>
        <w:rPr>
          <w:rFonts w:ascii="Arial" w:hAnsi="Arial" w:cs="Arial"/>
          <w:sz w:val="24"/>
          <w:szCs w:val="24"/>
        </w:rPr>
      </w:pPr>
      <w:r>
        <w:rPr>
          <w:rFonts w:ascii="Arial" w:hAnsi="Arial" w:cs="Arial"/>
          <w:sz w:val="24"/>
          <w:szCs w:val="24"/>
        </w:rPr>
        <w:t xml:space="preserve">Für folgende Maßnahmen, die den zeitgemäßen Ausstattungsstandard wesentlich überschreiten oder eine Nutzungsänderung darstellen, </w:t>
      </w:r>
      <w:r>
        <w:rPr>
          <w:rFonts w:ascii="Arial" w:hAnsi="Arial" w:cs="Arial"/>
          <w:bCs/>
          <w:sz w:val="24"/>
          <w:szCs w:val="24"/>
        </w:rPr>
        <w:t xml:space="preserve">soll </w:t>
      </w:r>
      <w:r>
        <w:rPr>
          <w:rFonts w:ascii="Arial" w:hAnsi="Arial" w:cs="Arial"/>
          <w:b/>
          <w:bCs/>
          <w:sz w:val="24"/>
          <w:szCs w:val="24"/>
        </w:rPr>
        <w:t>grundsätzlich keine erhaltungsrechtliche Genehmigung beziehungsweise erhaltungsrechtliche Zustimmung</w:t>
      </w:r>
      <w:r>
        <w:rPr>
          <w:rFonts w:ascii="Arial" w:hAnsi="Arial" w:cs="Arial"/>
          <w:bCs/>
          <w:sz w:val="24"/>
          <w:szCs w:val="24"/>
        </w:rPr>
        <w:t xml:space="preserve"> </w:t>
      </w:r>
      <w:r>
        <w:rPr>
          <w:rFonts w:ascii="Arial" w:hAnsi="Arial" w:cs="Arial"/>
          <w:sz w:val="24"/>
          <w:szCs w:val="24"/>
        </w:rPr>
        <w:t>im Baugenehmigungsverfahren erteilt werden:</w:t>
      </w:r>
    </w:p>
    <w:p>
      <w:pPr>
        <w:rPr>
          <w:rFonts w:ascii="Arial" w:hAnsi="Arial" w:cs="Arial"/>
          <w:sz w:val="24"/>
          <w:szCs w:val="24"/>
        </w:rPr>
      </w:pPr>
    </w:p>
    <w:p>
      <w:pPr>
        <w:pStyle w:val="Listenabsatz"/>
        <w:numPr>
          <w:ilvl w:val="0"/>
          <w:numId w:val="4"/>
        </w:numPr>
        <w:spacing w:after="120"/>
        <w:contextualSpacing w:val="0"/>
        <w:rPr>
          <w:rFonts w:ascii="Arial" w:hAnsi="Arial" w:cs="Arial"/>
          <w:sz w:val="24"/>
          <w:szCs w:val="24"/>
        </w:rPr>
      </w:pPr>
      <w:r>
        <w:rPr>
          <w:rFonts w:ascii="Arial" w:hAnsi="Arial" w:cs="Arial"/>
          <w:sz w:val="24"/>
          <w:szCs w:val="24"/>
        </w:rPr>
        <w:t>Rückbau von baulichen Anlagen, die ganz oder teilweise Wohnzwecken zu dienen bestimmt sind.</w:t>
      </w:r>
    </w:p>
    <w:p>
      <w:pPr>
        <w:pStyle w:val="Listenabsatz"/>
        <w:numPr>
          <w:ilvl w:val="0"/>
          <w:numId w:val="4"/>
        </w:numPr>
        <w:spacing w:after="120"/>
        <w:ind w:hanging="357"/>
        <w:contextualSpacing w:val="0"/>
        <w:rPr>
          <w:rFonts w:ascii="Arial" w:hAnsi="Arial" w:cs="Arial"/>
          <w:sz w:val="24"/>
          <w:szCs w:val="24"/>
        </w:rPr>
      </w:pPr>
      <w:r>
        <w:rPr>
          <w:rFonts w:ascii="Arial" w:hAnsi="Arial" w:cs="Arial"/>
          <w:sz w:val="24"/>
          <w:szCs w:val="24"/>
        </w:rPr>
        <w:t xml:space="preserve">Nutzungsänderungen von Wohnen in Gewerbe. </w:t>
      </w:r>
    </w:p>
    <w:p>
      <w:pPr>
        <w:pStyle w:val="Listenabsatz"/>
        <w:numPr>
          <w:ilvl w:val="0"/>
          <w:numId w:val="4"/>
        </w:numPr>
        <w:spacing w:after="120"/>
        <w:ind w:hanging="357"/>
        <w:contextualSpacing w:val="0"/>
        <w:rPr>
          <w:rFonts w:ascii="Arial" w:hAnsi="Arial" w:cs="Arial"/>
          <w:sz w:val="24"/>
          <w:szCs w:val="24"/>
        </w:rPr>
      </w:pPr>
      <w:r>
        <w:rPr>
          <w:rFonts w:ascii="Arial" w:hAnsi="Arial" w:cs="Arial"/>
          <w:sz w:val="24"/>
          <w:szCs w:val="24"/>
        </w:rPr>
        <w:t>Einbau bzw. Anbau von Aufzügen und Fassadengleitern, sofern keine bauordnungsrechtliche Aufzugspflicht besteht.</w:t>
      </w:r>
    </w:p>
    <w:p>
      <w:pPr>
        <w:pStyle w:val="Listenabsatz"/>
        <w:numPr>
          <w:ilvl w:val="0"/>
          <w:numId w:val="4"/>
        </w:numPr>
        <w:spacing w:after="120"/>
        <w:ind w:hanging="357"/>
        <w:contextualSpacing w:val="0"/>
        <w:rPr>
          <w:rFonts w:ascii="Arial" w:hAnsi="Arial" w:cs="Arial"/>
          <w:sz w:val="24"/>
          <w:szCs w:val="24"/>
        </w:rPr>
      </w:pPr>
      <w:r>
        <w:rPr>
          <w:rFonts w:ascii="Arial" w:hAnsi="Arial" w:cs="Arial"/>
          <w:sz w:val="24"/>
          <w:szCs w:val="24"/>
        </w:rPr>
        <w:t>Errichtung von Balkonen, Loggien, Terrassen und Wintergärten.</w:t>
      </w:r>
    </w:p>
    <w:p>
      <w:pPr>
        <w:pStyle w:val="Listenabsatz"/>
        <w:numPr>
          <w:ilvl w:val="0"/>
          <w:numId w:val="4"/>
        </w:numPr>
        <w:spacing w:after="120"/>
        <w:ind w:hanging="357"/>
        <w:contextualSpacing w:val="0"/>
        <w:rPr>
          <w:rFonts w:ascii="Arial" w:hAnsi="Arial" w:cs="Arial"/>
          <w:sz w:val="24"/>
          <w:szCs w:val="24"/>
        </w:rPr>
      </w:pPr>
      <w:r>
        <w:rPr>
          <w:rFonts w:ascii="Arial" w:hAnsi="Arial" w:cs="Arial"/>
          <w:sz w:val="24"/>
          <w:szCs w:val="24"/>
        </w:rPr>
        <w:t>Nicht erforderliche Grundrissänderungen. Erforderliche Grundrissveränderungen, zum Beispiel zum erstmaligen Einbau eines voll ausgestatteten Bades, sind auf ein Minimum zu beschränken und vorhandene Stränge zu berücksichtigen. Als nicht erforderliche Grundrissänderungen zählen insbesondere solche, die eine Veränderung der ursprünglichen Zimmeranzahl oder eine Veränderung der Wohnfläche, Verlegung und Neubau von Kammern, Schaffung von Wohnküchen und Veränderungen von bereits voll ausgestatteten Bädern (ein WC, ein Handwaschbecken in Einzelausführung, eine Badewanne oder Dusche sowie Wand- und Bodenverfliesung sind bereits vorhanden) beinhalten.</w:t>
      </w:r>
    </w:p>
    <w:p>
      <w:pPr>
        <w:pStyle w:val="Listenabsatz"/>
        <w:numPr>
          <w:ilvl w:val="0"/>
          <w:numId w:val="4"/>
        </w:numPr>
        <w:spacing w:after="120"/>
        <w:ind w:hanging="357"/>
        <w:contextualSpacing w:val="0"/>
        <w:rPr>
          <w:rFonts w:ascii="Arial" w:hAnsi="Arial" w:cs="Arial"/>
          <w:sz w:val="24"/>
          <w:szCs w:val="24"/>
        </w:rPr>
      </w:pPr>
      <w:r>
        <w:rPr>
          <w:rFonts w:ascii="Arial" w:hAnsi="Arial" w:cs="Arial"/>
          <w:sz w:val="24"/>
          <w:szCs w:val="24"/>
        </w:rPr>
        <w:t>Wohnungsteilungen, Wohnungszusammenlegungen sowie die Errichtung neuen Wohnraums unter Einbeziehung von Bestandswohnungen (zum Beispiel Dachgeschoss-Maisonette-Einheit).</w:t>
      </w:r>
    </w:p>
    <w:p>
      <w:pPr>
        <w:pStyle w:val="Listenabsatz"/>
        <w:numPr>
          <w:ilvl w:val="0"/>
          <w:numId w:val="4"/>
        </w:numPr>
        <w:spacing w:after="120"/>
        <w:ind w:hanging="357"/>
        <w:contextualSpacing w:val="0"/>
        <w:rPr>
          <w:rFonts w:ascii="Arial" w:hAnsi="Arial" w:cs="Arial"/>
          <w:sz w:val="24"/>
          <w:szCs w:val="24"/>
        </w:rPr>
      </w:pPr>
      <w:r>
        <w:rPr>
          <w:rFonts w:ascii="Arial" w:hAnsi="Arial" w:cs="Arial"/>
          <w:sz w:val="24"/>
          <w:szCs w:val="24"/>
        </w:rPr>
        <w:t>Einbau eines zweiten Bades, einer zweiten Dusche/Wanne oder eines zweiten WCs. Ausnahmen sind im Einzelfall dann zulässig, wenn die Wohnung mindestens vier Wohnräume aufweist und sich die Anzahl der Wohnräume durch den Einbau nicht verändert.</w:t>
      </w:r>
    </w:p>
    <w:p>
      <w:pPr>
        <w:pStyle w:val="Listenabsatz"/>
        <w:numPr>
          <w:ilvl w:val="0"/>
          <w:numId w:val="4"/>
        </w:numPr>
        <w:spacing w:after="120"/>
        <w:contextualSpacing w:val="0"/>
        <w:rPr>
          <w:rFonts w:ascii="Arial" w:hAnsi="Arial" w:cs="Arial"/>
          <w:sz w:val="24"/>
          <w:szCs w:val="24"/>
        </w:rPr>
      </w:pPr>
      <w:r>
        <w:rPr>
          <w:rFonts w:ascii="Arial" w:hAnsi="Arial" w:cs="Arial"/>
          <w:sz w:val="24"/>
          <w:szCs w:val="24"/>
        </w:rPr>
        <w:t xml:space="preserve">Maßnahmen zur Energieeinsparung, die über die Anpassung an die baulichen oder anlagentechnischen Mindestanforderungen der Energieeinsparverordnung (EnEV) an bestehende Gebäude und Anlagen in der bei Antragstellung geltenden Fassung der EnEV hinausgehen. </w:t>
      </w:r>
    </w:p>
    <w:p>
      <w:pPr>
        <w:pStyle w:val="Listenabsatz"/>
        <w:numPr>
          <w:ilvl w:val="0"/>
          <w:numId w:val="4"/>
        </w:numPr>
        <w:spacing w:after="120"/>
        <w:ind w:hanging="357"/>
        <w:contextualSpacing w:val="0"/>
        <w:rPr>
          <w:rFonts w:ascii="Arial" w:hAnsi="Arial" w:cs="Arial"/>
          <w:sz w:val="24"/>
          <w:szCs w:val="24"/>
        </w:rPr>
      </w:pPr>
      <w:r>
        <w:rPr>
          <w:rFonts w:ascii="Arial" w:hAnsi="Arial" w:cs="Arial"/>
          <w:sz w:val="24"/>
          <w:szCs w:val="24"/>
        </w:rPr>
        <w:t xml:space="preserve">Änderungen baulicher Anlagen, die den zeitgemäßen Ausstattungsstandard durchschnittlicher Wohnungen überschreiten. Hierzu gehören insbesondere: </w:t>
      </w:r>
    </w:p>
    <w:p>
      <w:pPr>
        <w:pStyle w:val="Listenabsatz"/>
        <w:numPr>
          <w:ilvl w:val="1"/>
          <w:numId w:val="4"/>
        </w:numPr>
        <w:spacing w:after="120"/>
        <w:ind w:hanging="357"/>
        <w:contextualSpacing w:val="0"/>
        <w:rPr>
          <w:rFonts w:ascii="Arial" w:hAnsi="Arial" w:cs="Arial"/>
          <w:sz w:val="24"/>
          <w:szCs w:val="24"/>
        </w:rPr>
      </w:pPr>
      <w:r>
        <w:rPr>
          <w:rFonts w:ascii="Arial" w:hAnsi="Arial" w:cs="Arial"/>
          <w:sz w:val="24"/>
          <w:szCs w:val="24"/>
        </w:rPr>
        <w:t>Vergrößerungen bestehender Balkone, Loggien, Terrassen und Wintergärten</w:t>
      </w:r>
    </w:p>
    <w:p>
      <w:pPr>
        <w:pStyle w:val="Listenabsatz"/>
        <w:numPr>
          <w:ilvl w:val="1"/>
          <w:numId w:val="4"/>
        </w:numPr>
        <w:spacing w:after="120"/>
        <w:ind w:hanging="357"/>
        <w:contextualSpacing w:val="0"/>
        <w:rPr>
          <w:rFonts w:ascii="Arial" w:hAnsi="Arial" w:cs="Arial"/>
          <w:sz w:val="24"/>
          <w:szCs w:val="24"/>
        </w:rPr>
      </w:pPr>
      <w:r>
        <w:rPr>
          <w:rFonts w:ascii="Arial" w:hAnsi="Arial" w:cs="Arial"/>
          <w:sz w:val="24"/>
          <w:szCs w:val="24"/>
        </w:rPr>
        <w:t xml:space="preserve">Einbau einer Fußbodenheizung </w:t>
      </w:r>
    </w:p>
    <w:p>
      <w:pPr>
        <w:pStyle w:val="Listenabsatz"/>
        <w:numPr>
          <w:ilvl w:val="1"/>
          <w:numId w:val="4"/>
        </w:numPr>
        <w:spacing w:after="120"/>
        <w:ind w:hanging="357"/>
        <w:contextualSpacing w:val="0"/>
        <w:rPr>
          <w:rFonts w:ascii="Arial" w:hAnsi="Arial" w:cs="Arial"/>
          <w:sz w:val="24"/>
          <w:szCs w:val="24"/>
        </w:rPr>
      </w:pPr>
      <w:r>
        <w:rPr>
          <w:rFonts w:ascii="Arial" w:hAnsi="Arial" w:cs="Arial"/>
          <w:sz w:val="24"/>
          <w:szCs w:val="24"/>
        </w:rPr>
        <w:t xml:space="preserve">Einbau eines Kamins </w:t>
      </w:r>
    </w:p>
    <w:p>
      <w:pPr>
        <w:pStyle w:val="Listenabsatz"/>
        <w:numPr>
          <w:ilvl w:val="1"/>
          <w:numId w:val="4"/>
        </w:numPr>
        <w:spacing w:after="120"/>
        <w:ind w:hanging="357"/>
        <w:contextualSpacing w:val="0"/>
        <w:rPr>
          <w:rFonts w:ascii="Arial" w:hAnsi="Arial" w:cs="Arial"/>
          <w:sz w:val="24"/>
          <w:szCs w:val="24"/>
        </w:rPr>
      </w:pPr>
      <w:r>
        <w:rPr>
          <w:rFonts w:ascii="Arial" w:hAnsi="Arial" w:cs="Arial"/>
          <w:sz w:val="24"/>
          <w:szCs w:val="24"/>
        </w:rPr>
        <w:t>Panoramafenster / bodentiefe Fenster</w:t>
      </w:r>
    </w:p>
    <w:p>
      <w:pPr>
        <w:pStyle w:val="Listenabsatz"/>
        <w:numPr>
          <w:ilvl w:val="1"/>
          <w:numId w:val="4"/>
        </w:numPr>
        <w:spacing w:after="120"/>
        <w:ind w:hanging="357"/>
        <w:contextualSpacing w:val="0"/>
        <w:rPr>
          <w:rFonts w:ascii="Arial" w:hAnsi="Arial" w:cs="Arial"/>
          <w:sz w:val="24"/>
          <w:szCs w:val="24"/>
        </w:rPr>
      </w:pPr>
      <w:r>
        <w:rPr>
          <w:rFonts w:ascii="Arial" w:hAnsi="Arial" w:cs="Arial"/>
          <w:sz w:val="24"/>
          <w:szCs w:val="24"/>
        </w:rPr>
        <w:t xml:space="preserve">Gegensprechanlage mit Videoübertragung </w:t>
      </w:r>
    </w:p>
    <w:p>
      <w:pPr>
        <w:pStyle w:val="Listenabsatz"/>
        <w:numPr>
          <w:ilvl w:val="1"/>
          <w:numId w:val="4"/>
        </w:numPr>
        <w:spacing w:after="120"/>
        <w:ind w:hanging="357"/>
        <w:contextualSpacing w:val="0"/>
        <w:rPr>
          <w:rFonts w:ascii="Arial" w:hAnsi="Arial" w:cs="Arial"/>
          <w:sz w:val="24"/>
          <w:szCs w:val="24"/>
        </w:rPr>
      </w:pPr>
      <w:r>
        <w:rPr>
          <w:rFonts w:ascii="Arial" w:hAnsi="Arial" w:cs="Arial"/>
          <w:sz w:val="24"/>
          <w:szCs w:val="24"/>
        </w:rPr>
        <w:t xml:space="preserve">repräsentative Eingangsbereiche und Treppenhäuser </w:t>
      </w:r>
    </w:p>
    <w:p>
      <w:pPr>
        <w:pStyle w:val="Listenabsatz"/>
        <w:numPr>
          <w:ilvl w:val="1"/>
          <w:numId w:val="4"/>
        </w:numPr>
        <w:spacing w:after="120"/>
        <w:ind w:hanging="357"/>
        <w:contextualSpacing w:val="0"/>
        <w:rPr>
          <w:rFonts w:ascii="Arial" w:hAnsi="Arial" w:cs="Arial"/>
          <w:sz w:val="24"/>
          <w:szCs w:val="24"/>
        </w:rPr>
      </w:pPr>
      <w:r>
        <w:rPr>
          <w:rFonts w:ascii="Arial" w:hAnsi="Arial" w:cs="Arial"/>
          <w:sz w:val="24"/>
          <w:szCs w:val="24"/>
        </w:rPr>
        <w:t>sowie weitere bauliche, wohnwerterhöhende Ausstattungsmerkmale, die u.a. im Berliner Mietspiegel enthalten sind.</w:t>
      </w:r>
    </w:p>
    <w:p>
      <w:pPr>
        <w:pStyle w:val="Listenabsatz"/>
        <w:numPr>
          <w:ilvl w:val="0"/>
          <w:numId w:val="4"/>
        </w:numPr>
        <w:spacing w:after="120"/>
        <w:ind w:hanging="357"/>
        <w:contextualSpacing w:val="0"/>
        <w:rPr>
          <w:rFonts w:ascii="Arial" w:hAnsi="Arial" w:cs="Arial"/>
          <w:sz w:val="24"/>
          <w:szCs w:val="24"/>
        </w:rPr>
      </w:pPr>
      <w:r>
        <w:rPr>
          <w:rFonts w:ascii="Arial" w:hAnsi="Arial" w:cs="Arial"/>
          <w:sz w:val="24"/>
          <w:szCs w:val="24"/>
        </w:rPr>
        <w:t>Sonstige bauliche Maßnahmen die aufgrund der Vorbildwirkung geeignet sind, Entwicklungen in Gang zu setzen, die tendenziell eine überdurchschnittlich hohe Verdrängungsgefahr für die im Erhaltungsgebiet vorhandene Wohnbevölkerung nach sich ziehen.</w:t>
      </w:r>
    </w:p>
    <w:p>
      <w:pPr>
        <w:rPr>
          <w:rFonts w:ascii="Arial" w:hAnsi="Arial" w:cs="Arial"/>
          <w:sz w:val="24"/>
          <w:szCs w:val="24"/>
        </w:rPr>
      </w:pPr>
    </w:p>
    <w:p>
      <w:pPr>
        <w:rPr>
          <w:rFonts w:ascii="Arial" w:hAnsi="Arial" w:cs="Arial"/>
          <w:sz w:val="24"/>
          <w:szCs w:val="24"/>
        </w:rPr>
      </w:pPr>
      <w:r>
        <w:rPr>
          <w:rFonts w:ascii="Arial" w:hAnsi="Arial" w:cs="Arial"/>
          <w:sz w:val="24"/>
          <w:szCs w:val="24"/>
        </w:rPr>
        <w:t>Die Durchführung ungenehmigter Baumaßnahmen (Änderung der baulichen Anlage, Rückbau) stellt eine Ordnungswidrigkeit dar, die gemäß § 213 BauGB mit einer Geldbuße bis zu 30.000,- Euro geahndet werden kann.</w:t>
      </w:r>
    </w:p>
    <w:p>
      <w:pPr>
        <w:jc w:val="both"/>
        <w:rPr>
          <w:rFonts w:ascii="Arial" w:hAnsi="Arial" w:cs="Arial"/>
          <w:sz w:val="24"/>
          <w:szCs w:val="24"/>
        </w:rPr>
      </w:pPr>
    </w:p>
    <w:p>
      <w:pPr>
        <w:jc w:val="both"/>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Berlin Tempelhof-Schöneberg, den 23.06.2020</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6591"/>
        <w:gridCol w:w="2761"/>
      </w:tblGrid>
      <w:tr>
        <w:tc>
          <w:tcPr>
            <w:tcW w:w="6591" w:type="dxa"/>
          </w:tcPr>
          <w:p>
            <w:pPr>
              <w:rPr>
                <w:rFonts w:ascii="Arial" w:hAnsi="Arial" w:cs="Arial"/>
                <w:sz w:val="22"/>
                <w:szCs w:val="22"/>
              </w:rPr>
            </w:pPr>
            <w:r>
              <w:rPr>
                <w:rFonts w:ascii="Arial" w:hAnsi="Arial" w:cs="Arial"/>
                <w:sz w:val="22"/>
                <w:szCs w:val="22"/>
              </w:rPr>
              <w:t>_________________</w:t>
            </w:r>
          </w:p>
          <w:p>
            <w:pPr>
              <w:rPr>
                <w:rFonts w:ascii="Arial" w:hAnsi="Arial" w:cs="Arial"/>
                <w:sz w:val="22"/>
                <w:szCs w:val="22"/>
              </w:rPr>
            </w:pPr>
            <w:r>
              <w:rPr>
                <w:rFonts w:ascii="Arial" w:hAnsi="Arial" w:cs="Arial"/>
                <w:sz w:val="22"/>
                <w:szCs w:val="22"/>
              </w:rPr>
              <w:t>Angelika Schöttler</w:t>
            </w:r>
          </w:p>
          <w:p>
            <w:pPr>
              <w:rPr>
                <w:rFonts w:ascii="Arial" w:hAnsi="Arial" w:cs="Arial"/>
                <w:sz w:val="22"/>
                <w:szCs w:val="22"/>
              </w:rPr>
            </w:pPr>
            <w:r>
              <w:rPr>
                <w:rFonts w:ascii="Arial" w:hAnsi="Arial" w:cs="Arial"/>
                <w:sz w:val="22"/>
                <w:szCs w:val="22"/>
              </w:rPr>
              <w:t>Bezirksbürgermeisterin</w:t>
            </w:r>
          </w:p>
        </w:tc>
        <w:tc>
          <w:tcPr>
            <w:tcW w:w="2761" w:type="dxa"/>
          </w:tcPr>
          <w:p>
            <w:pPr>
              <w:rPr>
                <w:rFonts w:ascii="Arial" w:hAnsi="Arial" w:cs="Arial"/>
                <w:sz w:val="22"/>
                <w:szCs w:val="22"/>
              </w:rPr>
            </w:pPr>
            <w:r>
              <w:rPr>
                <w:rFonts w:ascii="Arial" w:hAnsi="Arial" w:cs="Arial"/>
                <w:sz w:val="22"/>
                <w:szCs w:val="22"/>
              </w:rPr>
              <w:t>_________________</w:t>
            </w:r>
          </w:p>
          <w:p>
            <w:pPr>
              <w:rPr>
                <w:rFonts w:ascii="Arial" w:hAnsi="Arial" w:cs="Arial"/>
                <w:sz w:val="22"/>
                <w:szCs w:val="22"/>
              </w:rPr>
            </w:pPr>
            <w:r>
              <w:rPr>
                <w:rFonts w:ascii="Arial" w:hAnsi="Arial" w:cs="Arial"/>
                <w:sz w:val="22"/>
                <w:szCs w:val="22"/>
              </w:rPr>
              <w:t xml:space="preserve">Jörn Oltmann  </w:t>
            </w:r>
          </w:p>
          <w:p>
            <w:pPr>
              <w:rPr>
                <w:rFonts w:ascii="Arial" w:hAnsi="Arial" w:cs="Arial"/>
                <w:sz w:val="22"/>
                <w:szCs w:val="22"/>
              </w:rPr>
            </w:pPr>
            <w:r>
              <w:rPr>
                <w:rFonts w:ascii="Arial" w:hAnsi="Arial" w:cs="Arial"/>
                <w:sz w:val="22"/>
                <w:szCs w:val="22"/>
              </w:rPr>
              <w:t>Bezirksstadtrat</w:t>
            </w:r>
          </w:p>
        </w:tc>
      </w:tr>
    </w:tbl>
    <w:p>
      <w:pPr>
        <w:rPr>
          <w:rFonts w:ascii="Arial" w:hAnsi="Arial" w:cs="Arial"/>
          <w:b/>
          <w:sz w:val="22"/>
        </w:rPr>
      </w:pPr>
    </w:p>
    <w:p>
      <w:pPr>
        <w:rPr>
          <w:rFonts w:ascii="Arial" w:hAnsi="Arial" w:cs="Arial"/>
          <w:b/>
          <w:sz w:val="22"/>
        </w:rPr>
      </w:pPr>
    </w:p>
    <w:p>
      <w:pPr>
        <w:rPr>
          <w:rFonts w:ascii="Arial" w:hAnsi="Arial" w:cs="Arial"/>
          <w:b/>
          <w:sz w:val="22"/>
        </w:rPr>
      </w:pPr>
    </w:p>
    <w:p>
      <w:pPr>
        <w:rPr>
          <w:rFonts w:ascii="Arial" w:hAnsi="Arial" w:cs="Arial"/>
          <w:b/>
          <w:sz w:val="22"/>
        </w:rPr>
      </w:pPr>
    </w:p>
    <w:p>
      <w:pPr>
        <w:rPr>
          <w:rFonts w:ascii="Arial" w:hAnsi="Arial" w:cs="Arial"/>
          <w:b/>
          <w:sz w:val="22"/>
        </w:rPr>
      </w:pPr>
    </w:p>
    <w:p>
      <w:pPr>
        <w:jc w:val="both"/>
        <w:rPr>
          <w:rFonts w:ascii="Arial" w:hAnsi="Arial" w:cs="Arial"/>
          <w:sz w:val="24"/>
          <w:szCs w:val="24"/>
        </w:rPr>
      </w:pPr>
      <w:r>
        <w:rPr>
          <w:rFonts w:ascii="Arial" w:hAnsi="Arial" w:cs="Arial"/>
          <w:b/>
          <w:sz w:val="24"/>
          <w:szCs w:val="24"/>
        </w:rPr>
        <w:br w:type="page"/>
      </w:r>
      <w:r>
        <w:rPr>
          <w:rFonts w:ascii="Arial" w:hAnsi="Arial" w:cs="Arial"/>
          <w:sz w:val="24"/>
          <w:szCs w:val="24"/>
        </w:rPr>
        <w:t>Anlage: Begründung zur Vorlage zur Beschlussfassung</w:t>
      </w:r>
    </w:p>
    <w:p>
      <w:pPr>
        <w:jc w:val="both"/>
        <w:rPr>
          <w:rFonts w:ascii="Arial" w:hAnsi="Arial" w:cs="Arial"/>
          <w:b/>
          <w:sz w:val="24"/>
          <w:szCs w:val="24"/>
        </w:rPr>
      </w:pPr>
    </w:p>
    <w:p>
      <w:pPr>
        <w:jc w:val="both"/>
        <w:rPr>
          <w:rFonts w:ascii="Arial" w:hAnsi="Arial" w:cs="Arial"/>
          <w:b/>
          <w:sz w:val="24"/>
          <w:szCs w:val="24"/>
        </w:rPr>
      </w:pPr>
      <w:r>
        <w:rPr>
          <w:rFonts w:ascii="Arial" w:hAnsi="Arial" w:cs="Arial"/>
          <w:b/>
          <w:sz w:val="24"/>
          <w:szCs w:val="24"/>
        </w:rPr>
        <w:t>Prüfkriterien für die Beurteilung von Anträgen auf Rückbau, Änderung oder Nutzungsänderung baulicher Anlagen in den Erhaltungsgebieten nach § 172 Absatz 1 Satz 1 Nummer 2 des Baugesetzbuchs (soziale Erhaltungsgebiete) im Bezirk Tempelhof-Schöneberg von Berlin</w:t>
      </w:r>
    </w:p>
    <w:p>
      <w:pPr>
        <w:jc w:val="both"/>
        <w:rPr>
          <w:rFonts w:ascii="Arial" w:hAnsi="Arial" w:cs="Arial"/>
          <w:sz w:val="24"/>
          <w:szCs w:val="24"/>
        </w:rPr>
      </w:pPr>
    </w:p>
    <w:p>
      <w:pPr>
        <w:jc w:val="both"/>
        <w:rPr>
          <w:rFonts w:ascii="Arial" w:hAnsi="Arial" w:cs="Arial"/>
          <w:sz w:val="24"/>
          <w:szCs w:val="24"/>
        </w:rPr>
      </w:pPr>
      <w:r>
        <w:rPr>
          <w:rFonts w:ascii="Arial" w:hAnsi="Arial" w:cs="Arial"/>
          <w:sz w:val="24"/>
          <w:szCs w:val="24"/>
        </w:rPr>
        <w:t xml:space="preserve">Mit Festsetzung der ersten sozialen Erhaltungsgebiete gemäß § 172 Abs. 1 Satz 1 Nr. 2 BauGB im Bezirk Tempelhof-Schöneberg wurden gleichzeitig Prüfkriterien beschlossen, die im Rahmen des allgemeinen Verwaltungshandelns einen Rahmen für die Beurteilung von erhaltungsrechtsrelevanten Maßnahmen bilden. Das war im Jahr 2014. </w:t>
      </w:r>
    </w:p>
    <w:p>
      <w:pPr>
        <w:jc w:val="both"/>
        <w:rPr>
          <w:rFonts w:ascii="Arial" w:hAnsi="Arial" w:cs="Arial"/>
          <w:sz w:val="24"/>
          <w:szCs w:val="24"/>
        </w:rPr>
      </w:pPr>
      <w:r>
        <w:rPr>
          <w:rFonts w:ascii="Arial" w:hAnsi="Arial" w:cs="Arial"/>
          <w:sz w:val="24"/>
          <w:szCs w:val="24"/>
        </w:rPr>
        <w:t xml:space="preserve">Das Sammeln von praktischen Erfahrungen im Sinne einer fortentwickelten Genehmigungspraxis, ein Schärfen des Bewusstseins für die im Bezirk maßgeblichen Probleme sowie aktuelle Rechtsprechung machen eine Überarbeitung der bestehenden Prüfkriterien, auch im Hinblick auf die mögliche Festsetzung neuer sozialer Erhaltungsgebiete, erforderlich. </w:t>
      </w:r>
    </w:p>
    <w:p>
      <w:pPr>
        <w:jc w:val="both"/>
        <w:rPr>
          <w:rFonts w:ascii="Arial" w:hAnsi="Arial" w:cs="Arial"/>
          <w:sz w:val="24"/>
          <w:szCs w:val="24"/>
        </w:rPr>
      </w:pPr>
    </w:p>
    <w:p>
      <w:pPr>
        <w:jc w:val="both"/>
        <w:rPr>
          <w:rFonts w:ascii="Arial" w:hAnsi="Arial" w:cs="Arial"/>
          <w:sz w:val="24"/>
          <w:szCs w:val="24"/>
        </w:rPr>
      </w:pPr>
      <w:r>
        <w:rPr>
          <w:rFonts w:ascii="Arial" w:hAnsi="Arial" w:cs="Arial"/>
          <w:sz w:val="24"/>
          <w:szCs w:val="24"/>
        </w:rPr>
        <w:t xml:space="preserve">Grundlage der Genehmigungspraxis sind zunächst die Vorschriften der §§ 172 und 173 des Baugesetzbuchs (BauGB) sowie die auf ihnen beruhenden sozialen Erhaltungsverordnungen. Ziel ist insbesondere der Erhalt kostengünstigen Wohnraums. Das soziale Erhaltungsrecht ist dabei ein städtebauliches Instrument, das nicht dem individuellen Mieterschutz dient. Dies zeigt sich auch daran, dass Eigentümer einen Rechtsanspruch auf eine Genehmigung von Maßnahmen haben, die der Herstellung eines zeitgemäßen Ausstattungsstandards oder der Anpassung einer baulichen Anlage an die Mindestanforderungen der Energieeinsparverordnung (EnEV) dienen. </w:t>
      </w:r>
    </w:p>
    <w:p>
      <w:pPr>
        <w:jc w:val="both"/>
        <w:rPr>
          <w:rFonts w:ascii="Arial" w:hAnsi="Arial" w:cs="Arial"/>
          <w:sz w:val="24"/>
          <w:szCs w:val="24"/>
        </w:rPr>
      </w:pPr>
      <w:r>
        <w:rPr>
          <w:rFonts w:ascii="Arial" w:hAnsi="Arial" w:cs="Arial"/>
          <w:sz w:val="24"/>
          <w:szCs w:val="24"/>
        </w:rPr>
        <w:t xml:space="preserve">Dabei kommt es aber nicht darauf an, ob ein ganz konkretes Vorhaben allein geeignet ist, die Zusammensetzung der Wohnbevölkerung zu verändern, sondern insbesondere, ob es aufgrund der Vorbildwirkung geeignet ist, Entwicklungen in Gang zu setzen, die tendenziell eine überdurchschnittlich hohe Verdrängungsgefahr für die im Erhaltungsgebiet vorhandene Wohnbevölkerung nach sich ziehen. </w:t>
      </w:r>
    </w:p>
    <w:p>
      <w:pPr>
        <w:jc w:val="both"/>
        <w:rPr>
          <w:rFonts w:ascii="Arial" w:hAnsi="Arial" w:cs="Arial"/>
          <w:sz w:val="24"/>
          <w:szCs w:val="24"/>
        </w:rPr>
      </w:pPr>
    </w:p>
    <w:p>
      <w:pPr>
        <w:jc w:val="both"/>
        <w:rPr>
          <w:rFonts w:ascii="Arial" w:hAnsi="Arial" w:cs="Arial"/>
          <w:sz w:val="24"/>
          <w:szCs w:val="24"/>
        </w:rPr>
      </w:pPr>
      <w:r>
        <w:rPr>
          <w:rFonts w:ascii="Arial" w:hAnsi="Arial" w:cs="Arial"/>
          <w:sz w:val="24"/>
          <w:szCs w:val="24"/>
        </w:rPr>
        <w:t xml:space="preserve">Um dies zu beurteilen und einen „roten Faden“ zu haben, an dem sich auch Antragsteller_innen orientieren können, eignen sich Prüfkriterien im Allgemeinen, sofern sie an die aktuellen Bedingungen angepasst sind. Diese Kriterien stehen als Verwaltungsvorschriften aber nicht für sich allein und können und sollen eine Einzelfallprüfung nicht ersetzen. Somit können sich Antragsteller_innen nicht allein auf diese Kriterien berufen. Entscheidend ist vielmehr, ob eine Maßnahme den Erhaltungszielen entgegensteht oder nicht. Mit den Genehmigungskriterien werden somit die Zielstellungen des sozialen Erhaltungsrechts lediglich präzisiert und auf die Rechtslage sowie die Angemessenheit des Verwaltungshandelns abgestellt. </w:t>
      </w:r>
    </w:p>
    <w:p>
      <w:pPr>
        <w:jc w:val="both"/>
        <w:rPr>
          <w:rFonts w:ascii="Arial" w:hAnsi="Arial" w:cs="Arial"/>
          <w:sz w:val="24"/>
          <w:szCs w:val="24"/>
        </w:rPr>
      </w:pPr>
    </w:p>
    <w:p>
      <w:pPr>
        <w:jc w:val="both"/>
        <w:rPr>
          <w:rFonts w:ascii="Arial" w:hAnsi="Arial" w:cs="Arial"/>
          <w:sz w:val="24"/>
          <w:szCs w:val="24"/>
        </w:rPr>
      </w:pPr>
      <w:r>
        <w:rPr>
          <w:rFonts w:ascii="Arial" w:hAnsi="Arial" w:cs="Arial"/>
          <w:sz w:val="24"/>
          <w:szCs w:val="24"/>
        </w:rPr>
        <w:t>Eine schlüssige, transparente und zugleich praktikable Genehmigungspraxis folgt dem grundlegenden Handlungsprinzip, Maßnahmen entweder zu versagen oder aber zu genehmigen. Hierbei erfolgt eine Beeinflussung der Mieten und Umlagen nur indirekt. Da der Schutz der städtebaulichen Struktur im Vordergrund stehen muss, können daher auch keine Erklärungen zum Verzicht auf Umlagen eine Genehmigungsfähigkeit herstellen, da diese bei Mieterwechsel dann nicht mehr greifen und somit kostengünstiger Wohnraum verloren gehen könnte. Auf der anderen Seite kann auch nicht ausgeschlossen werden, dass sich durch zulässige Maßnahmen die Miete stark erhöht. Dies kann einem öffentlich-rechtlichen Genehmigungsanspruch nicht entgegengehalten werden. Mieter_innen können sich aber gegenüber Vermieter_innen auf die Regelungen des Bürgerlichen Gesetzbuches BGB (z.B. Härtefallregelung) berufen, um ihre Interessen zu wahren.</w:t>
      </w:r>
    </w:p>
    <w:p>
      <w:pPr>
        <w:jc w:val="both"/>
        <w:rPr>
          <w:rFonts w:ascii="Arial" w:hAnsi="Arial" w:cs="Arial"/>
          <w:sz w:val="24"/>
          <w:szCs w:val="24"/>
        </w:rPr>
      </w:pPr>
    </w:p>
    <w:p>
      <w:pPr>
        <w:jc w:val="both"/>
        <w:rPr>
          <w:rFonts w:ascii="Arial" w:hAnsi="Arial" w:cs="Arial"/>
          <w:sz w:val="24"/>
          <w:szCs w:val="24"/>
        </w:rPr>
      </w:pPr>
      <w:r>
        <w:rPr>
          <w:rFonts w:ascii="Arial" w:hAnsi="Arial" w:cs="Arial"/>
          <w:sz w:val="24"/>
          <w:szCs w:val="24"/>
        </w:rPr>
        <w:t>Ziel der Erhaltungsverordnung ist es, in deren Geltungsbereichen die Zusammenset</w:t>
      </w:r>
      <w:r>
        <w:rPr>
          <w:rFonts w:ascii="Arial" w:hAnsi="Arial" w:cs="Arial"/>
          <w:sz w:val="24"/>
          <w:szCs w:val="24"/>
        </w:rPr>
        <w:softHyphen/>
        <w:t>zung der Wohnbevölkerung zu erhalten. Den in einem intakten Gebiet wohnenden Menschen soll der Bestand der Umgebung gesichert und so die Bevölkerungs</w:t>
      </w:r>
      <w:r>
        <w:rPr>
          <w:rFonts w:ascii="Arial" w:hAnsi="Arial" w:cs="Arial"/>
          <w:sz w:val="24"/>
          <w:szCs w:val="24"/>
        </w:rPr>
        <w:softHyphen/>
        <w:t>struktur in einem bestimmten Ortsteil vor unerwünschten Veränderungen geschützt werden (BVerfG, DVBl. 1987, 465). Daher dürfen geplante Maßnahmen vorhandenen Wohnraum nicht derart verändern, dass er für die im Gebiet ansässige Wohnbevölke</w:t>
      </w:r>
      <w:r>
        <w:rPr>
          <w:rFonts w:ascii="Arial" w:hAnsi="Arial" w:cs="Arial"/>
          <w:sz w:val="24"/>
          <w:szCs w:val="24"/>
        </w:rPr>
        <w:softHyphen/>
        <w:t>rung nicht mehr geeignet ist. Entscheidend sind die Auswirkungen auf den Bestand, die Größe und die Ausstattung des vorhandenen Wohnraums.</w:t>
      </w:r>
    </w:p>
    <w:p>
      <w:pPr>
        <w:jc w:val="both"/>
        <w:rPr>
          <w:rFonts w:ascii="Arial" w:hAnsi="Arial" w:cs="Arial"/>
          <w:sz w:val="24"/>
          <w:szCs w:val="24"/>
        </w:rPr>
      </w:pPr>
      <w:r>
        <w:rPr>
          <w:rFonts w:ascii="Arial" w:hAnsi="Arial" w:cs="Arial"/>
          <w:sz w:val="24"/>
          <w:szCs w:val="24"/>
        </w:rPr>
        <w:t>Der grundsätzliche Erhalt des Wohnungsbestandes und der Wohnungsgrößen ist eine wesentliche städtebauliche Voraussetzung für die Erhaltung der im Gebiet vorhandenen Haushalts- und Bewohnerstruktur und damit der Zusammensetzung der Wohnbevölkerung. Die Erforderlichkeit und die Legitimität dieser Zielsetzung wurden in den Voruntersuchungen der einzelnen festgesetzten sozialen Erhaltungsgebiete nachgewiesen. Um die Wohnungsstruktur im Einklang mit der vorhandenen Bevölkerung zu erhalten, finden alle Regelungen ausnahmslos sowohl auf bewohnte Wohnungen (vermietete Wohnungen, selbst genutztes Eigentum) als auch auf leerstehende Wohnungen – unabhängig von der Eigentumsform – Anwendung.</w:t>
      </w:r>
    </w:p>
    <w:p>
      <w:pPr>
        <w:jc w:val="both"/>
        <w:rPr>
          <w:rFonts w:ascii="Arial" w:hAnsi="Arial" w:cs="Arial"/>
          <w:sz w:val="24"/>
          <w:szCs w:val="24"/>
        </w:rPr>
      </w:pPr>
    </w:p>
    <w:p>
      <w:pPr>
        <w:jc w:val="both"/>
        <w:rPr>
          <w:rFonts w:ascii="Arial" w:hAnsi="Arial" w:cs="Arial"/>
          <w:sz w:val="24"/>
          <w:szCs w:val="24"/>
        </w:rPr>
      </w:pPr>
      <w:r>
        <w:rPr>
          <w:rFonts w:ascii="Arial" w:hAnsi="Arial" w:cs="Arial"/>
          <w:sz w:val="24"/>
          <w:szCs w:val="24"/>
        </w:rPr>
        <w:t>Insbesondere die folgend aufgeführten Maßnahmen werden, im Hinblick auf den Ausstattungsstandard, als überdurchschnittlich angesehen und sind in ihren Folgewirkungen (z. B. Mietenentwicklung) geeignet die Zusammensetzung der Wohnbevölkerung zu gefährden. Für folgende Maßnahmen, die den zeitgemäßen Ausstattungsstandard wesentlich überschreiten oder eine Nutzungsänderung darstellen, soll keine erhaltungsrechtliche Genehmigung bzw. erhaltungsrechtliche Zustimmung im Baugenehmigungsverfahren erteilt werden:</w:t>
      </w:r>
    </w:p>
    <w:p>
      <w:pPr>
        <w:jc w:val="both"/>
        <w:rPr>
          <w:rFonts w:ascii="Arial" w:hAnsi="Arial" w:cs="Arial"/>
          <w:sz w:val="24"/>
          <w:szCs w:val="24"/>
        </w:rPr>
      </w:pPr>
    </w:p>
    <w:p>
      <w:pPr>
        <w:pStyle w:val="Listenabsatz"/>
        <w:numPr>
          <w:ilvl w:val="0"/>
          <w:numId w:val="2"/>
        </w:numPr>
        <w:spacing w:after="120"/>
        <w:ind w:hanging="357"/>
        <w:contextualSpacing w:val="0"/>
        <w:jc w:val="both"/>
        <w:rPr>
          <w:rFonts w:ascii="Arial" w:hAnsi="Arial" w:cs="Arial"/>
          <w:i/>
          <w:sz w:val="24"/>
          <w:szCs w:val="24"/>
        </w:rPr>
      </w:pPr>
      <w:r>
        <w:rPr>
          <w:rFonts w:ascii="Arial" w:hAnsi="Arial" w:cs="Arial"/>
          <w:i/>
          <w:sz w:val="24"/>
          <w:szCs w:val="24"/>
        </w:rPr>
        <w:t>Rückbau von baulichen Anlagen, die ganz oder teilweise Wohnzwecken zu dienen bestimmt sind.</w:t>
      </w:r>
    </w:p>
    <w:p>
      <w:pPr>
        <w:spacing w:after="120"/>
        <w:jc w:val="both"/>
        <w:rPr>
          <w:rFonts w:ascii="Arial" w:hAnsi="Arial" w:cs="Arial"/>
          <w:sz w:val="24"/>
          <w:szCs w:val="24"/>
        </w:rPr>
      </w:pPr>
      <w:r>
        <w:rPr>
          <w:rFonts w:ascii="Arial" w:hAnsi="Arial" w:cs="Arial"/>
          <w:sz w:val="24"/>
          <w:szCs w:val="24"/>
        </w:rPr>
        <w:t xml:space="preserve">Grundsätzlich dient das soziale Erhaltungsrecht nur dem Schutz bestehenden Wohnraums. Durch die Genehmigungspflicht für den Abriss soll verhindert werden, dass die Regelungen durch eine Beseitigung des Bestandes umgangen werden. Dies ist von besonderer Bedeutung, da bestehender Wohnraum oft kostengünstiger bereitgestellt werden kann als Neubau, was sich z. B. daran zeigt, dass bei Neubauvorhaben in der Regel öffentliche Förderungen erforderlich sind, um das (niedrige) Mietniveau von Bestandsgebäuden zu erreichen. Somit besteht am Erhalt dieser Wohnungen ein besonderes öffentliches Interesse, so lange dies dem Eigentümer wirtschaftlich zugemutet werden kann. Beim </w:t>
      </w:r>
      <w:r>
        <w:rPr>
          <w:rFonts w:ascii="Arial" w:hAnsi="Arial" w:cs="Arial"/>
          <w:sz w:val="24"/>
          <w:szCs w:val="24"/>
          <w:u w:val="single"/>
        </w:rPr>
        <w:t>Nachweis wirtschaftlicher Unzumutbarkeit</w:t>
      </w:r>
      <w:r>
        <w:rPr>
          <w:rFonts w:ascii="Arial" w:hAnsi="Arial" w:cs="Arial"/>
          <w:sz w:val="24"/>
          <w:szCs w:val="24"/>
        </w:rPr>
        <w:t xml:space="preserve"> sieht § 172 Abs. 4 Satz 2 BauGB daher einen Genehmigungsanspruch vor. </w:t>
      </w:r>
    </w:p>
    <w:p>
      <w:pPr>
        <w:spacing w:after="120"/>
        <w:jc w:val="both"/>
        <w:rPr>
          <w:rFonts w:ascii="Arial" w:hAnsi="Arial" w:cs="Arial"/>
          <w:sz w:val="24"/>
          <w:szCs w:val="24"/>
        </w:rPr>
      </w:pPr>
    </w:p>
    <w:p>
      <w:pPr>
        <w:pStyle w:val="Listenabsatz"/>
        <w:numPr>
          <w:ilvl w:val="0"/>
          <w:numId w:val="2"/>
        </w:numPr>
        <w:spacing w:after="120"/>
        <w:ind w:hanging="357"/>
        <w:contextualSpacing w:val="0"/>
        <w:jc w:val="both"/>
        <w:rPr>
          <w:rFonts w:ascii="Arial" w:hAnsi="Arial" w:cs="Arial"/>
          <w:sz w:val="24"/>
          <w:szCs w:val="24"/>
        </w:rPr>
      </w:pPr>
      <w:r>
        <w:rPr>
          <w:rFonts w:ascii="Arial" w:hAnsi="Arial" w:cs="Arial"/>
          <w:i/>
          <w:sz w:val="24"/>
          <w:szCs w:val="24"/>
        </w:rPr>
        <w:t xml:space="preserve">Nutzungsänderungen von Wohnen in Gewerbe. </w:t>
      </w:r>
    </w:p>
    <w:p>
      <w:pPr>
        <w:spacing w:after="120"/>
        <w:jc w:val="both"/>
        <w:rPr>
          <w:rFonts w:ascii="Arial" w:hAnsi="Arial" w:cs="Arial"/>
          <w:sz w:val="24"/>
          <w:szCs w:val="24"/>
        </w:rPr>
      </w:pPr>
      <w:r>
        <w:rPr>
          <w:rFonts w:ascii="Arial" w:hAnsi="Arial" w:cs="Arial"/>
          <w:sz w:val="24"/>
          <w:szCs w:val="24"/>
        </w:rPr>
        <w:t>Die Erhaltung der Wohnungsstruktur in ihrer Mischung ist Grundvoraussetzung für den Erhalt der Zusammensetzung der Wohnbevölkerung. Hinsichtlich Größe, Lage, Ausstattung und Anzahl korrespondieren die derzeitige Wohnungsstruktur und die Bevölkerungsstruktur miteinander. Dies gilt auch hinsichtlich der Nutzung als Wohnraum an sich. Eine Veränderung der Nutzung hat zwangsläufig Auswirkungen auf die Zusammensetzung der Wohnbevölkerung, da dies immer mit einem Bewohnerauszug einhergeht und der Wohnraum verloren geht. Daher ist eine Nutzungsänderung von Wohnraum in Gewerbe grundsätzlich unzulässig.</w:t>
      </w:r>
    </w:p>
    <w:p>
      <w:pPr>
        <w:spacing w:after="120"/>
        <w:jc w:val="both"/>
        <w:rPr>
          <w:rFonts w:ascii="Arial" w:hAnsi="Arial" w:cs="Arial"/>
          <w:sz w:val="24"/>
          <w:szCs w:val="24"/>
        </w:rPr>
      </w:pPr>
      <w:r>
        <w:rPr>
          <w:rFonts w:ascii="Arial" w:hAnsi="Arial" w:cs="Arial"/>
          <w:sz w:val="24"/>
          <w:szCs w:val="24"/>
        </w:rPr>
        <w:t>Alle weiteren Nutzungsänderungen sollen einer gesonderten Einzelfallprüfung unterliegen. Ausnahmen sind unter Umständen dann zulässig, wenn die Wohnräume aufgrund ihrer Lage nur eingeschränkt zum längerfristigen Wohnen geeignet sind, etwa aufgrund von unzumutbarer Lärmeinwirkung, unzureichender Belichtung und Belüftung.</w:t>
      </w:r>
    </w:p>
    <w:p>
      <w:pPr>
        <w:spacing w:after="120"/>
        <w:jc w:val="both"/>
        <w:rPr>
          <w:rFonts w:ascii="Arial" w:hAnsi="Arial" w:cs="Arial"/>
          <w:sz w:val="24"/>
          <w:szCs w:val="24"/>
        </w:rPr>
      </w:pPr>
    </w:p>
    <w:p>
      <w:pPr>
        <w:pStyle w:val="Listenabsatz"/>
        <w:numPr>
          <w:ilvl w:val="0"/>
          <w:numId w:val="2"/>
        </w:numPr>
        <w:spacing w:after="120"/>
        <w:ind w:hanging="357"/>
        <w:contextualSpacing w:val="0"/>
        <w:jc w:val="both"/>
        <w:rPr>
          <w:rFonts w:ascii="Arial" w:hAnsi="Arial" w:cs="Arial"/>
          <w:i/>
          <w:sz w:val="24"/>
          <w:szCs w:val="24"/>
        </w:rPr>
      </w:pPr>
      <w:r>
        <w:rPr>
          <w:rFonts w:ascii="Arial" w:hAnsi="Arial" w:cs="Arial"/>
          <w:i/>
          <w:sz w:val="24"/>
          <w:szCs w:val="24"/>
        </w:rPr>
        <w:t>Einbau bzw. Anbau von Aufzügen und Fassadengleitern, sofern kein Genehmigungsanspruch nach § 172 Absatz 4 Satz 3 Nummer 1 BauGB besteht.</w:t>
      </w:r>
    </w:p>
    <w:p>
      <w:pPr>
        <w:spacing w:after="120"/>
        <w:jc w:val="both"/>
        <w:rPr>
          <w:rFonts w:ascii="Arial" w:hAnsi="Arial" w:cs="Arial"/>
          <w:sz w:val="24"/>
          <w:szCs w:val="24"/>
        </w:rPr>
      </w:pPr>
      <w:r>
        <w:rPr>
          <w:rFonts w:ascii="Arial" w:hAnsi="Arial" w:cs="Arial"/>
          <w:sz w:val="24"/>
          <w:szCs w:val="24"/>
        </w:rPr>
        <w:t xml:space="preserve">Beim Ein- bzw. Anbau von Aufzügen und Fassadengleitern handelt es sich um eine Änderung einer baulichen Anlage im Sinne von § 172 Abs. 1 Satz 1 BauGB. Durch die Maßnahme wird zum einen in die bauliche Substanz des vorhandenen Gebäudes eingegriffen. Die Maßnahme ist zum anderen auch vom Umfang her geeignet, die Ziele der Erhaltungsverordnung zu berühren, da sie jedenfalls prinzipiell zu einer Mieterhöhung und damit möglicherweise zu der Gefahr der Verdrängung der ansässigen Bevölkerung führen kann. </w:t>
      </w:r>
    </w:p>
    <w:p>
      <w:pPr>
        <w:spacing w:after="120"/>
        <w:jc w:val="both"/>
        <w:rPr>
          <w:rFonts w:ascii="Arial" w:hAnsi="Arial" w:cs="Arial"/>
          <w:sz w:val="24"/>
          <w:szCs w:val="24"/>
        </w:rPr>
      </w:pPr>
      <w:r>
        <w:rPr>
          <w:rFonts w:ascii="Arial" w:hAnsi="Arial" w:cs="Arial"/>
          <w:sz w:val="24"/>
          <w:szCs w:val="24"/>
        </w:rPr>
        <w:t>Da ein einzelner Ein- bzw. Anbau von Aufzügen und Fassadengleitern innerhalb eines größeren Verordnungsgebiets kaum jemals zu einer städtebaulich ins Gewicht fallenden Änderung der Zusammensetzung der Wohnbevölkerung führen wird, darf eine solche Maßnahme auch nicht isoliert gesehen werden. Es kommt vielmehr darauf an, ob diese einzelnen Maßnahmen aufgrund ihrer Vorbildwirkung geeignet sind, eine Entwicklung in Gang zu setzen, die tendenziell die Veränderung der Zusammensetzung der vorhandenen Wohnbevölkerung nach sich zieht.</w:t>
      </w:r>
    </w:p>
    <w:p>
      <w:pPr>
        <w:spacing w:after="120"/>
        <w:jc w:val="both"/>
        <w:rPr>
          <w:rFonts w:ascii="Arial" w:hAnsi="Arial" w:cs="Arial"/>
          <w:sz w:val="24"/>
          <w:szCs w:val="24"/>
        </w:rPr>
      </w:pPr>
      <w:r>
        <w:rPr>
          <w:rFonts w:ascii="Arial" w:hAnsi="Arial" w:cs="Arial"/>
          <w:sz w:val="24"/>
          <w:szCs w:val="24"/>
        </w:rPr>
        <w:t xml:space="preserve">Die uneingeschränkte Zulassung von Aufzügen und Fassadengleitern, und diese Maßnahmen werden von Bauherren sehr häufig gewünscht, würde zu einer über das durchschnittliche Ausstattungsniveau hinausgehenden Verbesserung des baulichen Ausstattungsstandards des Gesamtgebäudes bzw. der Wohnungen vom ersten bis, in der Regel, vierten Obergeschoss führen. Sie hätte eine nicht überschaubare Vorbildwirkung für ähnliche Ausbaumaßnahmen, bei denen sich die jeweiligen Eigentümer/Bauherren auf zuvor genehmigte Vorhaben und deren Ausgestaltung berufen könnten. </w:t>
      </w:r>
    </w:p>
    <w:p>
      <w:pPr>
        <w:spacing w:after="120"/>
        <w:jc w:val="both"/>
        <w:rPr>
          <w:rFonts w:ascii="Arial" w:hAnsi="Arial" w:cs="Arial"/>
          <w:sz w:val="24"/>
          <w:szCs w:val="24"/>
        </w:rPr>
      </w:pPr>
      <w:r>
        <w:rPr>
          <w:rFonts w:ascii="Arial" w:hAnsi="Arial" w:cs="Arial"/>
          <w:sz w:val="24"/>
          <w:szCs w:val="24"/>
        </w:rPr>
        <w:t>Durch solche weitergehenden Verbesserungen des baulichen Ausstattungsstandards wird der betroffene Wohnraum aufgewertet, sodass im Rahmen einer anschließenden Vermietung oder Veräußerung regelmäßig kurzfristig erheblich höhere Gewinne als ohne diese Maßnahme erzielt werden können. Dies führt letztendlich zu (deutlichen) Steigerungen der Mietpreise. Dadurch kann bislang vorhandener, preisgünstiger Wohnraum weiten Bevölkerungskreisen in den Erhaltungsgebieten nachhaltig verloren gehen und damit das Ziel der Erhaltungsverordnungen - Erhalt der Zusammensetzung der Wohnbevölkerung - gefährdet werden.</w:t>
      </w:r>
    </w:p>
    <w:p>
      <w:pPr>
        <w:spacing w:after="120"/>
        <w:jc w:val="both"/>
        <w:rPr>
          <w:rFonts w:ascii="Arial" w:hAnsi="Arial" w:cs="Arial"/>
          <w:sz w:val="24"/>
          <w:szCs w:val="24"/>
        </w:rPr>
      </w:pPr>
      <w:r>
        <w:rPr>
          <w:rFonts w:ascii="Arial" w:hAnsi="Arial" w:cs="Arial"/>
          <w:sz w:val="24"/>
          <w:szCs w:val="24"/>
        </w:rPr>
        <w:t xml:space="preserve">Davon unbeschadet werden Aufzüge und Fassadengleiter gemäß § 172 Abs. 4 Satz 3 Nr. 1 BauGB zugelassen, wenn sie bauordnungsrechtlich erforderlich sind; Grundlage hierfür ist § 39 BauO Bln. So löst eine Aufstockung eines Bestandsgebäudes um (mindestens) zwei Geschosse eine entsprechende Aufzugspflicht aus. Die erhaltungsrechtliche Genehmigung müsste zwingend erteilt werden. </w:t>
      </w:r>
    </w:p>
    <w:p>
      <w:pPr>
        <w:spacing w:after="120"/>
        <w:jc w:val="both"/>
        <w:rPr>
          <w:rFonts w:ascii="Arial" w:hAnsi="Arial" w:cs="Arial"/>
          <w:sz w:val="24"/>
          <w:szCs w:val="24"/>
        </w:rPr>
      </w:pPr>
    </w:p>
    <w:p>
      <w:pPr>
        <w:pStyle w:val="Listenabsatz"/>
        <w:numPr>
          <w:ilvl w:val="0"/>
          <w:numId w:val="2"/>
        </w:numPr>
        <w:spacing w:after="120"/>
        <w:ind w:hanging="357"/>
        <w:contextualSpacing w:val="0"/>
        <w:jc w:val="both"/>
        <w:rPr>
          <w:rFonts w:ascii="Arial" w:hAnsi="Arial" w:cs="Arial"/>
          <w:i/>
          <w:sz w:val="24"/>
          <w:szCs w:val="24"/>
        </w:rPr>
      </w:pPr>
      <w:r>
        <w:rPr>
          <w:rFonts w:ascii="Arial" w:hAnsi="Arial" w:cs="Arial"/>
          <w:i/>
          <w:sz w:val="24"/>
          <w:szCs w:val="24"/>
        </w:rPr>
        <w:t>Errichtung von Balkonen, Loggien, Terrassen und Wintergärten.</w:t>
      </w:r>
    </w:p>
    <w:p>
      <w:pPr>
        <w:spacing w:after="120"/>
        <w:jc w:val="both"/>
        <w:rPr>
          <w:rFonts w:ascii="Arial" w:hAnsi="Arial" w:cs="Arial"/>
          <w:sz w:val="24"/>
          <w:szCs w:val="24"/>
        </w:rPr>
      </w:pPr>
      <w:r>
        <w:rPr>
          <w:rFonts w:ascii="Arial" w:hAnsi="Arial" w:cs="Arial"/>
          <w:sz w:val="24"/>
          <w:szCs w:val="24"/>
        </w:rPr>
        <w:t xml:space="preserve">Balkone, Loggien, Terrassen und Wintergärten lösen keinen Genehmigungsanspruch nach § 172 Abs. 4 Satz 3 Nr. 1 BauGB aus, da sie weder bauordnungsrechtlich erforderlich sind, noch als zeitgemäßer Ausstattungszustand gelten. Vielmehr stellen diese Maßnahmen einen Eingriff in die bauliche Substanz des vorhandenen Gebäudes dar, der zu einem höherwertigen Ausstattungszustand der betroffenen Wohnungen führt und damit grundsätzlich nicht im Einklang mit den Erhaltungszielen der sozialen Erhaltungsverordnung stehen. Sie sind zudem auch vom Umfang her geeignet, die Ziele der Erhaltungsverordnung zu berühren, da sie jedenfalls prinzipiell zu einer Mieterhöhung und damit möglicherweise zu der Gefahr der Verdrängung der ansässigen Bevölkerung führen können. </w:t>
      </w:r>
    </w:p>
    <w:p>
      <w:pPr>
        <w:spacing w:after="120"/>
        <w:jc w:val="both"/>
        <w:rPr>
          <w:rFonts w:ascii="Arial" w:hAnsi="Arial" w:cs="Arial"/>
          <w:sz w:val="24"/>
          <w:szCs w:val="24"/>
        </w:rPr>
      </w:pPr>
      <w:r>
        <w:rPr>
          <w:rFonts w:ascii="Arial" w:hAnsi="Arial" w:cs="Arial"/>
          <w:sz w:val="24"/>
          <w:szCs w:val="24"/>
        </w:rPr>
        <w:t xml:space="preserve">Die </w:t>
      </w:r>
      <w:r>
        <w:rPr>
          <w:rFonts w:ascii="Arial" w:hAnsi="Arial" w:cs="Arial"/>
          <w:i/>
          <w:sz w:val="24"/>
          <w:szCs w:val="24"/>
        </w:rPr>
        <w:t>Errichtung von Balkonen, Loggien, Terrassen und Wintergärten stellt ein</w:t>
      </w:r>
      <w:r>
        <w:rPr>
          <w:rFonts w:ascii="Arial" w:hAnsi="Arial" w:cs="Arial"/>
          <w:sz w:val="24"/>
          <w:szCs w:val="24"/>
        </w:rPr>
        <w:t xml:space="preserve"> Vorhaben dar, das aufgrund seiner Vorbildwirkung dazu beitragen kann, dass in dem Gebiet eine Verdrängung der ansässigen Wohnbevölkerung in Gang gesetzt wird, die eine Veränderung der Zusammensetzung der Wohnbevölkerung nach sich zieht, die im Widerspruch zu dem städtebaulichen Erhaltungsziel steht. (vgl. Stock in: Ernst/Zinkahn/Bielenberg/Krautzberger, Baugesetzbuch 124. EL Februar 2017 Rn 176). </w:t>
      </w:r>
    </w:p>
    <w:p>
      <w:pPr>
        <w:spacing w:after="120"/>
        <w:jc w:val="both"/>
        <w:rPr>
          <w:rFonts w:ascii="Arial" w:hAnsi="Arial" w:cs="Arial"/>
          <w:sz w:val="24"/>
          <w:szCs w:val="24"/>
        </w:rPr>
      </w:pPr>
    </w:p>
    <w:p>
      <w:pPr>
        <w:pStyle w:val="Listenabsatz"/>
        <w:numPr>
          <w:ilvl w:val="0"/>
          <w:numId w:val="2"/>
        </w:numPr>
        <w:spacing w:after="120"/>
        <w:ind w:hanging="357"/>
        <w:contextualSpacing w:val="0"/>
        <w:jc w:val="both"/>
        <w:rPr>
          <w:rFonts w:ascii="Arial" w:hAnsi="Arial" w:cs="Arial"/>
          <w:i/>
          <w:sz w:val="24"/>
          <w:szCs w:val="24"/>
        </w:rPr>
      </w:pPr>
      <w:r>
        <w:rPr>
          <w:rFonts w:ascii="Arial" w:hAnsi="Arial" w:cs="Arial"/>
          <w:i/>
          <w:sz w:val="24"/>
          <w:szCs w:val="24"/>
        </w:rPr>
        <w:t>Nicht erforderliche Grundrissänderungen. Erforderliche Grundrissänderungen, zum Beispiel zum erstmaligen Einbau eines voll ausgestatteten Bades, sind auf ein Minimum zu beschränken und vorhandene Stränge zu berücksichtigen. Als nicht erforderliche Grundrissänderungen zählen insbesondere solche, die eine Veränderung der ursprünglichen Zimmeranzahl oder eine Veränderung der Wohnfläche, Verlegung und Neubau von Kammern, Schaffung von Wohnküchen und Veränderungen von bereits voll ausgestatteten Bädern (ein WC, ein Handwaschbecken in Einzelausführung, eine Badewanne oder Dusche sowie Wand- und Bodenverfliesung sind bereits vorhanden) beinhalten.</w:t>
      </w:r>
    </w:p>
    <w:p>
      <w:pPr>
        <w:spacing w:after="120"/>
        <w:jc w:val="both"/>
        <w:rPr>
          <w:rFonts w:ascii="Arial" w:hAnsi="Arial" w:cs="Arial"/>
          <w:sz w:val="24"/>
          <w:szCs w:val="24"/>
        </w:rPr>
      </w:pPr>
      <w:r>
        <w:rPr>
          <w:rFonts w:ascii="Arial" w:hAnsi="Arial" w:cs="Arial"/>
          <w:sz w:val="24"/>
          <w:szCs w:val="24"/>
        </w:rPr>
        <w:t>Unter dieses Kriterium fallen insbesondere Grundrissänderungen, die eine Veränderung der ursprünglichen Zimmeranzahl oder eine Veränderung der Wohnfläche, Verlegung und Neubau von Kammern, Schaffung von Wohnküchen und Veränderungen von bereits voll ausgestatteten Bädern (ein WC, ein Handwaschbecken in Einzelausführung, eine Badewanne oder Dusche und Wand- und Bodenverfliesung sind bereits vorhanden) beinhalten. Erforderliche Grundrissänderungen sind auf ein Minimum zu beschränken und vorhandene Stränge zu berücksichtigen.</w:t>
      </w:r>
    </w:p>
    <w:p>
      <w:pPr>
        <w:spacing w:after="120"/>
        <w:jc w:val="both"/>
        <w:rPr>
          <w:rFonts w:ascii="Arial" w:hAnsi="Arial" w:cs="Arial"/>
          <w:sz w:val="24"/>
          <w:szCs w:val="24"/>
        </w:rPr>
      </w:pPr>
      <w:r>
        <w:rPr>
          <w:rFonts w:ascii="Arial" w:hAnsi="Arial" w:cs="Arial"/>
          <w:sz w:val="24"/>
          <w:szCs w:val="24"/>
        </w:rPr>
        <w:t>Anträge, die sich auf die Veränderung von Grundrissen beziehen, nehmen einen erheblichen Raum im erhaltungsrechtlichen Genehmigungsalltag ein. Diese Maßnahmen sind erhaltungsrechtlich sehr bedeutend, da sie sich unmittelbar auf die im Gebiet lebende Bevölkerung auswirken können. Dies betrifft verschiedene Veränderungen, wie die Herstellung von besonders großzügigen Grundrissen, z.B. durch die Zusammenlegung von Zimmern oder die Schaffung von Wohnküchen durch Zusammenlegung der Küche mit angrenzenden Räumen. Aber auch Veränderung und Verlagerung der Bäder und Küchen im Allgemeinen, da dann zentrale Teile der Wohnung längere Zeit nicht nutzbar sind und die Wohnung, welche in einem bestimmten Zustand angemietet wurde, im veränderten Grundriss ggf. nicht mehr den Bedürfnissen der Mieter_innen entspricht. Denn solche Maßnahmen können den Charakter einer Wohnung erheblich verändern und sich z. B. eher an Wohngemeinschaften statt an die ansässige Bevölkerung richten oder auch wohnwerterhöhend im Sinne des Mietspiegels sein.</w:t>
      </w:r>
    </w:p>
    <w:p>
      <w:pPr>
        <w:spacing w:after="120"/>
        <w:jc w:val="both"/>
        <w:rPr>
          <w:rFonts w:ascii="Arial" w:hAnsi="Arial" w:cs="Arial"/>
          <w:sz w:val="24"/>
          <w:szCs w:val="24"/>
        </w:rPr>
      </w:pPr>
      <w:r>
        <w:rPr>
          <w:rFonts w:ascii="Arial" w:hAnsi="Arial" w:cs="Arial"/>
          <w:sz w:val="24"/>
          <w:szCs w:val="24"/>
        </w:rPr>
        <w:t xml:space="preserve">Durch die Voruntersuchungen wurde in den Erhaltungsgebieten festgestellt, dass die vorhandene Bevölkerung und ihre Wohnungsnachfrage weitgehend im Einklang mit der vorhandenen Wohnungsstruktur steht sowie eine hohe Nachfrage nach kostengünstigem Wohnraum besteht. Daher ist es ein wesentliches Erhaltungsziel diese Struktur zu erhalten, insbesondere wenn es sich um bestehenden kostengünstigen Wohnraum handelt. </w:t>
      </w:r>
    </w:p>
    <w:p>
      <w:pPr>
        <w:spacing w:after="120"/>
        <w:jc w:val="both"/>
        <w:rPr>
          <w:rFonts w:ascii="Arial" w:hAnsi="Arial" w:cs="Arial"/>
          <w:sz w:val="24"/>
          <w:szCs w:val="24"/>
        </w:rPr>
      </w:pPr>
      <w:r>
        <w:rPr>
          <w:rFonts w:ascii="Arial" w:hAnsi="Arial" w:cs="Arial"/>
          <w:sz w:val="24"/>
          <w:szCs w:val="24"/>
        </w:rPr>
        <w:t>Gerade Grundrissänderungen bei Bädern und Küchen können u.a. durch die Verlegung von Strängen oder den Neuaufbau von Fußböden hohe Folgekosten nach sich ziehen. Somit sind diese Maßnahmen besonders geeignet, eine Verdrängung der Gebietsbevölkerung auszulösen und sind mit besonderem Augenmaß zu prüfen. Auch eine hohe Vorbildwirkung ist anzunehmen, da bestimmte Merkmale wie schmale Bäder nicht die Ausnahme darstellen, sondern regelmäßig vorhanden sind. Eine Genehmigungspraxis, wonach die Grundrisse bis auf die tragenden Wände beliebig geändert werden können, würde die sozialen Erhaltungsziele verfehlen.</w:t>
      </w:r>
    </w:p>
    <w:p>
      <w:pPr>
        <w:spacing w:after="120"/>
        <w:jc w:val="both"/>
        <w:rPr>
          <w:rFonts w:ascii="Arial" w:hAnsi="Arial" w:cs="Arial"/>
          <w:sz w:val="24"/>
          <w:szCs w:val="24"/>
        </w:rPr>
      </w:pPr>
      <w:r>
        <w:rPr>
          <w:rFonts w:ascii="Arial" w:hAnsi="Arial" w:cs="Arial"/>
          <w:sz w:val="24"/>
          <w:szCs w:val="24"/>
        </w:rPr>
        <w:t>Dies gilt umso mehr, da ein optimierungsfähiger Grundriss für sich genommen nicht bereits automatisch einen Substandard darstellt. Insbesondere wenn die vorhandene Bevölkerung, die ja durch die soziale Erhaltungsverordnung geschützt werden soll, dies nicht als Mangel sieht. Es gibt auch keine Definition, wie ein „zeitgemäßer Grundriss“ gestaltet sein muss. Hierbei ist zu beachten, dass die städtebauliche Struktur geschützt wird und Maßnahmen, die in leerstehenden Wohnungen als genehmigungsfähig betrachtet würden auch in bewohnten Wohnungen zugelassen werden müssten.</w:t>
      </w:r>
    </w:p>
    <w:p>
      <w:pPr>
        <w:spacing w:after="120"/>
        <w:jc w:val="both"/>
        <w:rPr>
          <w:rFonts w:ascii="Arial" w:hAnsi="Arial" w:cs="Arial"/>
          <w:sz w:val="24"/>
          <w:szCs w:val="24"/>
        </w:rPr>
      </w:pPr>
      <w:r>
        <w:rPr>
          <w:rFonts w:ascii="Arial" w:hAnsi="Arial" w:cs="Arial"/>
          <w:sz w:val="24"/>
          <w:szCs w:val="24"/>
        </w:rPr>
        <w:t>Entscheidend für die erhaltungsrechtliche Beurteilung ist daher nicht, ob ein Wohnungsgrundriss bei einem Neubauvorhaben heute anders gestaltet werden würde oder ob eine Wohnung mit einem anderen Grundriss besser zu vermarkten wäre, sondern allein, ob eine Wohnung bereits über die heute üblichen funktionalen Ausstattungsstandards, z.B. ein voll ausgestattetes Bad verfügt. Sofern ein solcher Standard nur mittels einer Grundrissänderung ermöglicht werden kann, ist diese so gering wie möglich zu halten, z. B. durch das Versetzen einzelner Wandteile oder das Zuschlagen einer benachbarten Kammer. Ebenfalls ist die Lage der vorhandenen Stränge zu berücksichtigen und eine Lösung zu wählen, die keine unnötigen Kosten verursacht.</w:t>
      </w:r>
    </w:p>
    <w:p>
      <w:pPr>
        <w:spacing w:after="120"/>
        <w:jc w:val="both"/>
        <w:rPr>
          <w:rFonts w:ascii="Arial" w:hAnsi="Arial" w:cs="Arial"/>
          <w:sz w:val="24"/>
          <w:szCs w:val="24"/>
        </w:rPr>
      </w:pPr>
      <w:r>
        <w:rPr>
          <w:rFonts w:ascii="Arial" w:hAnsi="Arial" w:cs="Arial"/>
          <w:sz w:val="24"/>
          <w:szCs w:val="24"/>
        </w:rPr>
        <w:t>Schließlich kann dem Erhaltungsziel auch nicht entgegengehalten werden, dass eine Sanierung in alten Grundrissen nicht wirtschaftlich ist, wenn Wände z. B. aufgrund ihrer Beschaffenheit oder Schwammbefall ohnehin erneuert werden müssen. Hierbei besteht durchaus ein Anspruch auf Erneuerung innerhalb des bestehenden Grundrisses. Aufgrund der negativen strukturellen Auswirkungen kann hierbei aber nicht allein maßgeblich sein, dass innerhalb der ohnehin anfallenden Kosten ein besserer Grundriss möglich wäre. Durch die Einschränkung soll auch erreicht werden, dass es möglichst wenig Anreize gibt, Wohnungen leer zu ziehen oder gezielt Instandhaltungen zu unterlassen, um möglichst große Freiräume bei einer Sanierung / Modernisierung zu erhalten.</w:t>
      </w:r>
    </w:p>
    <w:p>
      <w:pPr>
        <w:spacing w:after="120"/>
        <w:jc w:val="both"/>
        <w:rPr>
          <w:rFonts w:ascii="Arial" w:hAnsi="Arial" w:cs="Arial"/>
          <w:sz w:val="24"/>
          <w:szCs w:val="24"/>
        </w:rPr>
      </w:pPr>
      <w:r>
        <w:rPr>
          <w:rFonts w:ascii="Arial" w:hAnsi="Arial" w:cs="Arial"/>
          <w:sz w:val="24"/>
          <w:szCs w:val="24"/>
        </w:rPr>
        <w:t>Somit sind Grundrissänderungen insbesondere in folgenden Fällen unzulässig:</w:t>
      </w:r>
    </w:p>
    <w:p>
      <w:pPr>
        <w:pStyle w:val="Listenabsatz"/>
        <w:numPr>
          <w:ilvl w:val="0"/>
          <w:numId w:val="3"/>
        </w:numPr>
        <w:spacing w:after="120"/>
        <w:jc w:val="both"/>
        <w:rPr>
          <w:rFonts w:ascii="Arial" w:hAnsi="Arial" w:cs="Arial"/>
          <w:sz w:val="24"/>
          <w:szCs w:val="24"/>
        </w:rPr>
      </w:pPr>
      <w:r>
        <w:rPr>
          <w:rFonts w:ascii="Arial" w:hAnsi="Arial" w:cs="Arial"/>
          <w:sz w:val="24"/>
          <w:szCs w:val="24"/>
        </w:rPr>
        <w:t>wenn die Veränderungen nicht erforderlich sind, um einen zeitgemäßen Ausstattungsstandard zu erreichen (z. B. ein voll ausgestattetes Bad als Kleinst- und/oder Schlauchbad ist bereits vorhanden oder im derzeitigen Grundriss herstellbar).</w:t>
      </w:r>
    </w:p>
    <w:p>
      <w:pPr>
        <w:pStyle w:val="Listenabsatz"/>
        <w:spacing w:after="120"/>
        <w:jc w:val="both"/>
        <w:rPr>
          <w:rFonts w:ascii="Arial" w:hAnsi="Arial" w:cs="Arial"/>
          <w:sz w:val="24"/>
          <w:szCs w:val="24"/>
        </w:rPr>
      </w:pPr>
    </w:p>
    <w:p>
      <w:pPr>
        <w:pStyle w:val="Listenabsatz"/>
        <w:numPr>
          <w:ilvl w:val="0"/>
          <w:numId w:val="3"/>
        </w:numPr>
        <w:spacing w:after="120"/>
        <w:jc w:val="both"/>
        <w:rPr>
          <w:rFonts w:ascii="Arial" w:hAnsi="Arial" w:cs="Arial"/>
          <w:sz w:val="24"/>
          <w:szCs w:val="24"/>
        </w:rPr>
      </w:pPr>
      <w:r>
        <w:rPr>
          <w:rFonts w:ascii="Arial" w:hAnsi="Arial" w:cs="Arial"/>
          <w:sz w:val="24"/>
          <w:szCs w:val="24"/>
        </w:rPr>
        <w:t>wenn Veränderungen erforderlich sind, um einen zeitgemäßen Ausstattungsstandard zu erreichen und es im Vergleich zur geplanten Grundrissänderung eine Grundrissgestaltung gibt, die einen geringeren Eingriff darstellt (z. B. Erweiterung Schlauchbad durch anliegende Kammer, Versatz einer Wand oder eines Wandteils).</w:t>
      </w:r>
    </w:p>
    <w:p>
      <w:pPr>
        <w:pStyle w:val="Listenabsatz"/>
        <w:jc w:val="both"/>
        <w:rPr>
          <w:rFonts w:ascii="Arial" w:hAnsi="Arial" w:cs="Arial"/>
          <w:sz w:val="24"/>
          <w:szCs w:val="24"/>
        </w:rPr>
      </w:pPr>
    </w:p>
    <w:p>
      <w:pPr>
        <w:pStyle w:val="Listenabsatz"/>
        <w:numPr>
          <w:ilvl w:val="0"/>
          <w:numId w:val="3"/>
        </w:numPr>
        <w:spacing w:after="120"/>
        <w:jc w:val="both"/>
        <w:rPr>
          <w:rFonts w:ascii="Arial" w:hAnsi="Arial" w:cs="Arial"/>
          <w:sz w:val="24"/>
          <w:szCs w:val="24"/>
        </w:rPr>
      </w:pPr>
      <w:r>
        <w:rPr>
          <w:rFonts w:ascii="Arial" w:hAnsi="Arial" w:cs="Arial"/>
          <w:sz w:val="24"/>
          <w:szCs w:val="24"/>
        </w:rPr>
        <w:t>wenn durch die Grundrissänderung ein vorhandener Ausstattungsstand wohnwerterhöhend an anderer Stelle neu errichtet wird (z. B. Verlegung Kammer).</w:t>
      </w:r>
    </w:p>
    <w:p>
      <w:pPr>
        <w:pStyle w:val="Listenabsatz"/>
        <w:jc w:val="both"/>
        <w:rPr>
          <w:rFonts w:ascii="Arial" w:hAnsi="Arial" w:cs="Arial"/>
          <w:sz w:val="24"/>
          <w:szCs w:val="24"/>
        </w:rPr>
      </w:pPr>
    </w:p>
    <w:p>
      <w:pPr>
        <w:pStyle w:val="Listenabsatz"/>
        <w:numPr>
          <w:ilvl w:val="0"/>
          <w:numId w:val="3"/>
        </w:numPr>
        <w:spacing w:after="120"/>
        <w:jc w:val="both"/>
        <w:rPr>
          <w:rFonts w:ascii="Arial" w:hAnsi="Arial" w:cs="Arial"/>
          <w:sz w:val="24"/>
          <w:szCs w:val="24"/>
        </w:rPr>
      </w:pPr>
      <w:r>
        <w:rPr>
          <w:rFonts w:ascii="Arial" w:hAnsi="Arial" w:cs="Arial"/>
          <w:sz w:val="24"/>
          <w:szCs w:val="24"/>
        </w:rPr>
        <w:t>wenn die Grundrissänderung insbesondere dazu dient, den Ausstattungsstandard nach Mietspiegel zu erhöhen (z. B. Einbau einer Kammer).</w:t>
      </w:r>
    </w:p>
    <w:p>
      <w:pPr>
        <w:pStyle w:val="Listenabsatz"/>
        <w:jc w:val="both"/>
        <w:rPr>
          <w:rFonts w:ascii="Arial" w:hAnsi="Arial" w:cs="Arial"/>
          <w:sz w:val="24"/>
          <w:szCs w:val="24"/>
        </w:rPr>
      </w:pPr>
    </w:p>
    <w:p>
      <w:pPr>
        <w:pStyle w:val="Listenabsatz"/>
        <w:numPr>
          <w:ilvl w:val="0"/>
          <w:numId w:val="3"/>
        </w:numPr>
        <w:spacing w:after="120"/>
        <w:jc w:val="both"/>
        <w:rPr>
          <w:rFonts w:ascii="Arial" w:hAnsi="Arial" w:cs="Arial"/>
          <w:sz w:val="24"/>
          <w:szCs w:val="24"/>
        </w:rPr>
      </w:pPr>
      <w:r>
        <w:rPr>
          <w:rFonts w:ascii="Arial" w:hAnsi="Arial" w:cs="Arial"/>
          <w:sz w:val="24"/>
          <w:szCs w:val="24"/>
        </w:rPr>
        <w:t>wenn durch die Grundrissänderung der Charakter der Wohnung wohnwerterhöhend verändert wird.</w:t>
      </w:r>
    </w:p>
    <w:p>
      <w:pPr>
        <w:pStyle w:val="Listenabsatz"/>
        <w:jc w:val="both"/>
        <w:rPr>
          <w:rFonts w:ascii="Arial" w:hAnsi="Arial" w:cs="Arial"/>
          <w:sz w:val="24"/>
          <w:szCs w:val="24"/>
        </w:rPr>
      </w:pPr>
    </w:p>
    <w:p>
      <w:pPr>
        <w:pStyle w:val="Listenabsatz"/>
        <w:numPr>
          <w:ilvl w:val="0"/>
          <w:numId w:val="3"/>
        </w:numPr>
        <w:spacing w:after="120"/>
        <w:jc w:val="both"/>
        <w:rPr>
          <w:rFonts w:ascii="Arial" w:hAnsi="Arial" w:cs="Arial"/>
          <w:sz w:val="24"/>
          <w:szCs w:val="24"/>
        </w:rPr>
      </w:pPr>
      <w:r>
        <w:rPr>
          <w:rFonts w:ascii="Arial" w:hAnsi="Arial" w:cs="Arial"/>
          <w:sz w:val="24"/>
          <w:szCs w:val="24"/>
        </w:rPr>
        <w:t>wenn sich durch die Grundrissänderung die Anzahl der Zimmer verändert.</w:t>
      </w:r>
    </w:p>
    <w:p>
      <w:pPr>
        <w:spacing w:after="120"/>
        <w:jc w:val="both"/>
        <w:rPr>
          <w:rFonts w:ascii="Arial" w:hAnsi="Arial" w:cs="Arial"/>
          <w:sz w:val="24"/>
          <w:szCs w:val="24"/>
        </w:rPr>
      </w:pPr>
    </w:p>
    <w:p>
      <w:pPr>
        <w:pStyle w:val="Listenabsatz"/>
        <w:numPr>
          <w:ilvl w:val="0"/>
          <w:numId w:val="2"/>
        </w:numPr>
        <w:spacing w:after="120"/>
        <w:ind w:hanging="357"/>
        <w:contextualSpacing w:val="0"/>
        <w:jc w:val="both"/>
        <w:rPr>
          <w:rFonts w:ascii="Arial" w:hAnsi="Arial" w:cs="Arial"/>
          <w:i/>
          <w:sz w:val="24"/>
          <w:szCs w:val="24"/>
        </w:rPr>
      </w:pPr>
      <w:r>
        <w:rPr>
          <w:rFonts w:ascii="Arial" w:hAnsi="Arial" w:cs="Arial"/>
          <w:i/>
          <w:sz w:val="24"/>
          <w:szCs w:val="24"/>
        </w:rPr>
        <w:t>Wohnungsteilungen, Wohnungszusammenlegungen sowie die Errichtung neuen Wohnraums unter Einbeziehung von Bestandswohnungen (zum Beispiel Dachgeschoss-Maisonette-Einheit).</w:t>
      </w:r>
    </w:p>
    <w:p>
      <w:pPr>
        <w:spacing w:after="120"/>
        <w:jc w:val="both"/>
        <w:rPr>
          <w:rFonts w:ascii="Arial" w:hAnsi="Arial" w:cs="Arial"/>
          <w:sz w:val="24"/>
          <w:szCs w:val="24"/>
        </w:rPr>
      </w:pPr>
      <w:r>
        <w:rPr>
          <w:rFonts w:ascii="Arial" w:hAnsi="Arial" w:cs="Arial"/>
          <w:sz w:val="24"/>
          <w:szCs w:val="24"/>
        </w:rPr>
        <w:t>Die Erhaltung der Wohnungsstruktur in ihrer Mischung von unterschiedlichen Wohnungsgrößen und Lagekriterien ist Grundvoraussetzung für den Erhalt der Zusammensetzung der Wohnbevölkerung. Hinsichtlich Größe, Lage, Ausstattung und Anzahl korrespondieren die derzeitige Wohnungsstruktur und die Bevölkerungsstruktur miteinander. Eine Veränderung der Wohnungsstruktur hat zwangsläufig Auswirkungen auf die Zusammensetzung der Wohnbevölkerung, da die oben genannten Maßnahmen fast immer mit einem Bewohnerwechsel einhergehen.</w:t>
      </w:r>
    </w:p>
    <w:p>
      <w:pPr>
        <w:spacing w:after="120"/>
        <w:jc w:val="both"/>
        <w:rPr>
          <w:rFonts w:ascii="Arial" w:hAnsi="Arial" w:cs="Arial"/>
          <w:sz w:val="24"/>
          <w:szCs w:val="24"/>
        </w:rPr>
      </w:pPr>
      <w:r>
        <w:rPr>
          <w:rFonts w:ascii="Arial" w:hAnsi="Arial" w:cs="Arial"/>
          <w:sz w:val="24"/>
          <w:szCs w:val="24"/>
        </w:rPr>
        <w:t>Die Wohnungsstruktur ist daher im Hinblick auf Bestand, Größe und Ausstattung zu erhalten. Insbesondere die Zusammenlegung von Wohnungen kann dazu führen, dass Wohnungen in großer Zahl verloren gehen. Aber auch die Teilung von Wohnungen ist problematisch, insbesondere, wenn diese mit der Errichtung von neuen Bädern und Küchen verbunden ist. Hierdurch geht in der Regel bestehender kostengünstiger Wohnraum verloren.</w:t>
      </w:r>
    </w:p>
    <w:p>
      <w:pPr>
        <w:spacing w:after="120"/>
        <w:jc w:val="both"/>
        <w:rPr>
          <w:rFonts w:ascii="Arial" w:hAnsi="Arial" w:cs="Arial"/>
          <w:sz w:val="24"/>
          <w:szCs w:val="24"/>
        </w:rPr>
      </w:pPr>
      <w:r>
        <w:rPr>
          <w:rFonts w:ascii="Arial" w:hAnsi="Arial" w:cs="Arial"/>
          <w:sz w:val="24"/>
          <w:szCs w:val="24"/>
        </w:rPr>
        <w:t>Die Verhinderung der Zusammenlegung oder Teilung von Wohnraum sorgt dafür, dass der Aufwertungsdruck im Gebiet gemindert wird und auch weiterhin bezahlbarer Wohnraum für die angestammte Bevölkerung zur Verfügung steht. Auch die Zusammenlegung von Wohnungen im Bestand mit neu geschaffenen Wohnungen im Dachgeschoss fällt unter diese Regelung, da hierdurch ebenfalls die Wohnungsgrößenstruktur im Gebiet und damit die Passgenauigkeit zur vorhandenen Bevölkerungsstruktur generell verändert wird.</w:t>
      </w:r>
    </w:p>
    <w:p>
      <w:pPr>
        <w:spacing w:after="120"/>
        <w:jc w:val="both"/>
        <w:rPr>
          <w:rFonts w:ascii="Arial" w:hAnsi="Arial" w:cs="Arial"/>
          <w:sz w:val="24"/>
          <w:szCs w:val="24"/>
        </w:rPr>
      </w:pPr>
    </w:p>
    <w:p>
      <w:pPr>
        <w:pStyle w:val="Listenabsatz"/>
        <w:numPr>
          <w:ilvl w:val="0"/>
          <w:numId w:val="2"/>
        </w:numPr>
        <w:spacing w:after="120"/>
        <w:ind w:hanging="357"/>
        <w:contextualSpacing w:val="0"/>
        <w:jc w:val="both"/>
        <w:rPr>
          <w:rFonts w:ascii="Arial" w:hAnsi="Arial" w:cs="Arial"/>
          <w:i/>
          <w:sz w:val="24"/>
          <w:szCs w:val="24"/>
        </w:rPr>
      </w:pPr>
      <w:r>
        <w:rPr>
          <w:rFonts w:ascii="Arial" w:hAnsi="Arial" w:cs="Arial"/>
          <w:i/>
          <w:sz w:val="24"/>
          <w:szCs w:val="24"/>
        </w:rPr>
        <w:t>Einbau eines zweiten Bades, einer zweiten Dusche/Wanne oder eines zweiten WCs. Ausnahmen sind im Einzelfall dann zulässig, wenn die Wohnung mindestens vier Wohnräume aufweist und sich die Anzahl der Wohnräume durch den Einbau nicht verändert.</w:t>
      </w:r>
    </w:p>
    <w:p>
      <w:pPr>
        <w:spacing w:after="120"/>
        <w:jc w:val="both"/>
        <w:rPr>
          <w:rFonts w:ascii="Arial" w:hAnsi="Arial" w:cs="Arial"/>
          <w:sz w:val="24"/>
          <w:szCs w:val="24"/>
        </w:rPr>
      </w:pPr>
      <w:r>
        <w:rPr>
          <w:rFonts w:ascii="Arial" w:hAnsi="Arial" w:cs="Arial"/>
          <w:sz w:val="24"/>
          <w:szCs w:val="24"/>
        </w:rPr>
        <w:t xml:space="preserve">Hierdurch sollen kostenintensive nachträgliche Einbauten, insbesondere von Gäste-WCs, die zu hohen Modernisierungsumlagen führen können, vermieden werden. Sie entsprechen nicht dem üblichen Wohnungsstandard und haben bei kleinen Wohnungen nur einen sehr begrenzten Mehrwert für die Bewohner_innen. Ausgenommen von der Beschränkung sind große Wohnungen mit mehr als vier Wohnräumen zzgl. Küche, in denen üblicherweise mehrere Bewohner_innen wohnen. Hierdurch darf aber kein Aufenthaltsraum für den Umbau verloren gehen. Im Übrigen gelten die Aussagen zu Grundrissänderungen. </w:t>
      </w:r>
    </w:p>
    <w:p>
      <w:pPr>
        <w:spacing w:after="120"/>
        <w:jc w:val="both"/>
        <w:rPr>
          <w:rFonts w:ascii="Arial" w:hAnsi="Arial" w:cs="Arial"/>
          <w:sz w:val="24"/>
          <w:szCs w:val="24"/>
        </w:rPr>
      </w:pPr>
    </w:p>
    <w:p>
      <w:pPr>
        <w:pStyle w:val="Listenabsatz"/>
        <w:numPr>
          <w:ilvl w:val="0"/>
          <w:numId w:val="2"/>
        </w:numPr>
        <w:spacing w:after="120"/>
        <w:contextualSpacing w:val="0"/>
        <w:jc w:val="both"/>
        <w:rPr>
          <w:rFonts w:ascii="Arial" w:hAnsi="Arial" w:cs="Arial"/>
          <w:i/>
          <w:sz w:val="24"/>
          <w:szCs w:val="24"/>
        </w:rPr>
      </w:pPr>
      <w:r>
        <w:rPr>
          <w:rFonts w:ascii="Arial" w:hAnsi="Arial" w:cs="Arial"/>
          <w:i/>
          <w:sz w:val="24"/>
          <w:szCs w:val="24"/>
        </w:rPr>
        <w:t xml:space="preserve">Maßnahmen zur Energieeinsparung, die über die Anpassung an die baulichen oder anlagentechnischen Mindestanforderungen der Energieeinsparverordnung (EnEV) an bestehende Gebäude und Anlagen in der bei Antragstellung geltenden Fassung der EnEV hinausgehen. </w:t>
      </w:r>
    </w:p>
    <w:p>
      <w:pPr>
        <w:spacing w:after="120"/>
        <w:jc w:val="both"/>
        <w:rPr>
          <w:rFonts w:ascii="Arial" w:hAnsi="Arial" w:cs="Arial"/>
          <w:sz w:val="24"/>
          <w:szCs w:val="24"/>
        </w:rPr>
      </w:pPr>
      <w:r>
        <w:rPr>
          <w:rFonts w:ascii="Arial" w:hAnsi="Arial" w:cs="Arial"/>
          <w:sz w:val="24"/>
          <w:szCs w:val="24"/>
        </w:rPr>
        <w:t>Energetische Maßnahmen sind in der Regel umlagefähig und können sich stark auf die Mietentwicklung auswirken. Gleichzeitig kann und soll aber nicht grundsätzlich eine energetische Modernisierung verhindert werden. Vielmehr sind entsprechend § 172 Abs. 4 Satz 3 Nr. 1a BauGB Änderungen zu genehmigen, welche die Mindestanforderungen der jeweils gültigen Energieeinsparverordnung (EnEV) einhalten. Verpflichtende Maßnahmen nach § 10 der Energieeinsparverordnung sind grundsätzlich genehmigungsfähig.</w:t>
      </w:r>
    </w:p>
    <w:p>
      <w:pPr>
        <w:spacing w:after="120"/>
        <w:jc w:val="both"/>
        <w:rPr>
          <w:rFonts w:ascii="Arial" w:hAnsi="Arial" w:cs="Arial"/>
          <w:sz w:val="24"/>
          <w:szCs w:val="24"/>
        </w:rPr>
      </w:pPr>
      <w:r>
        <w:rPr>
          <w:rFonts w:ascii="Arial" w:hAnsi="Arial" w:cs="Arial"/>
          <w:sz w:val="24"/>
          <w:szCs w:val="24"/>
        </w:rPr>
        <w:t>Je nach Art und Umfang der Maßnahme können unterschiedliche Nachweise wie Bauteilnachweise, Nachweise zum Zustand von Bauteilen oder eine Gebäudebilanzierung erforderlich werden. Da ein Genehmigungsanspruch nach § 172 Abs. 4 Satz 3 Nr. 1a BauGB nur besteht, wenn die Mindestanforderungen der EnEV einschlägig sind, ist der Nachweis vom Antragsteller zu erbringen.</w:t>
      </w:r>
    </w:p>
    <w:p>
      <w:pPr>
        <w:spacing w:after="120"/>
        <w:jc w:val="both"/>
        <w:rPr>
          <w:rFonts w:ascii="Arial" w:hAnsi="Arial" w:cs="Arial"/>
          <w:sz w:val="24"/>
          <w:szCs w:val="24"/>
        </w:rPr>
      </w:pPr>
      <w:r>
        <w:rPr>
          <w:rFonts w:ascii="Arial" w:hAnsi="Arial" w:cs="Arial"/>
          <w:sz w:val="24"/>
          <w:szCs w:val="24"/>
        </w:rPr>
        <w:t>Ebenso soll durch den Eigentümer ein Nachweis erbracht werden, dass die Maßnahmen erforderlich sind und so ausgeführt werden können, dass sie auch den in der EnEV genannten Effekt aufweisen. Damit sollen z.B. nicht notwendige Wärmedämmungen verhindert werden, da diese kostenintensiven Maßnahmen zu einer hohen Modernisierungsumlage und somit zu einem Anstieg des Mietniveaus führen, das in seinen Folgewirkungen geeignet ist, den Erhalt der Zusammensetzung der Wohnbevölkerung zu gefährden.</w:t>
      </w:r>
    </w:p>
    <w:p>
      <w:pPr>
        <w:spacing w:after="120"/>
        <w:jc w:val="both"/>
        <w:rPr>
          <w:rFonts w:ascii="Arial" w:hAnsi="Arial" w:cs="Arial"/>
          <w:sz w:val="24"/>
          <w:szCs w:val="24"/>
        </w:rPr>
      </w:pPr>
      <w:r>
        <w:rPr>
          <w:rFonts w:ascii="Arial" w:hAnsi="Arial" w:cs="Arial"/>
          <w:sz w:val="24"/>
          <w:szCs w:val="24"/>
        </w:rPr>
        <w:t>Energetische Modernisierungsmaßnahmen, insbesondere die Dämmung von Fassaden und Dächern bzw. der Austausch von Fenstern sind entsprechend den Erfahrungen aus der Praxis besonders kostenintensiv und führen regelmäßig zu Mietumlagen von mehreren Euro je Quadratmeter. Die energetischen Einspareffekte bei der Betriebskostenabrechnung bleiben jedoch in der Regel deutlich unterhalb der Mehrkosten durch die Umlage. Somit kann insbesondere von diesen Maßnahmen eine Verdrängung der angestammten Bevölkerung ausgehen. Sie bedürfen daher einer besonderen Prüfung.</w:t>
      </w:r>
    </w:p>
    <w:p>
      <w:pPr>
        <w:spacing w:after="120"/>
        <w:jc w:val="both"/>
        <w:rPr>
          <w:rFonts w:ascii="Arial" w:hAnsi="Arial" w:cs="Arial"/>
          <w:sz w:val="24"/>
          <w:szCs w:val="24"/>
        </w:rPr>
      </w:pPr>
      <w:r>
        <w:rPr>
          <w:rFonts w:ascii="Arial" w:hAnsi="Arial" w:cs="Arial"/>
          <w:sz w:val="24"/>
          <w:szCs w:val="24"/>
        </w:rPr>
        <w:t>Gemäß §172 Abs. 4 Satz 3 Nr. 1a BauGB sind Änderungen baulicher Anlagen zulässig, wenn diese der Anpassung an die baulichen und anlagentechnischen Mindestanforderungen der Energieeinsparverordnung (EnEV) dienen. In § 9 Abs. 1 der EnEV werden in Verbindung mit Anlage 3 der EnEV die energetischen Anforderungen an Bestandsgebäude, die nicht unterschritten werden dürfen, verbindlich definiert. Hierbei wird in § 9 Abs. 3 EnEV ferner bestimmt, dass § 9 Abs.1 EnEV nicht anzuwenden ist, wenn eine Änderung weniger als 10 % des geänderten Außenbauteils betrifft (die sogenannte Bagatellgrenze). Hieraus folgt im Umkehrschluss, dass §172 Abs. 4 Satz 3 Nr. 1a BauGB unterhalb der Bagatellgrenze der EnEV nicht einschlägig ist, da es dann an einer „Mindestanforderung“ im Sinne des BauGB fehlt.</w:t>
      </w:r>
    </w:p>
    <w:p>
      <w:pPr>
        <w:spacing w:after="120"/>
        <w:jc w:val="both"/>
        <w:rPr>
          <w:rFonts w:ascii="Arial" w:hAnsi="Arial" w:cs="Arial"/>
          <w:sz w:val="24"/>
          <w:szCs w:val="24"/>
        </w:rPr>
      </w:pPr>
      <w:r>
        <w:rPr>
          <w:rFonts w:ascii="Arial" w:hAnsi="Arial" w:cs="Arial"/>
          <w:sz w:val="24"/>
          <w:szCs w:val="24"/>
        </w:rPr>
        <w:t xml:space="preserve">Somit unterliegen solche Maßnahmen nicht mehr dem § 172 Abs. 4 Satz 3 Nr. 1a BauGB, sondern sind in Bezug auf ihre Auswirkungen bezüglich der sozialen Erhaltungsziele zu bewerten. Sofern weniger als 10% der jeweiligen Bauteile nachweislich schadhaft sind, sind sie als intakt anzusehen und es besteht keine Verpflichtung zur energetischen Modernisierung. In solchen Fällen stehen die negativen Auswirkungen auf die sozialen Erhaltungsziele regelmäßig in keinem Verhältnis zu den energetischen Verbesserungen. </w:t>
      </w:r>
    </w:p>
    <w:p>
      <w:pPr>
        <w:spacing w:after="120"/>
        <w:jc w:val="both"/>
        <w:rPr>
          <w:rFonts w:ascii="Arial" w:hAnsi="Arial" w:cs="Arial"/>
          <w:sz w:val="24"/>
          <w:szCs w:val="24"/>
        </w:rPr>
      </w:pPr>
      <w:r>
        <w:rPr>
          <w:rFonts w:ascii="Arial" w:hAnsi="Arial" w:cs="Arial"/>
          <w:sz w:val="24"/>
          <w:szCs w:val="24"/>
        </w:rPr>
        <w:t xml:space="preserve">In der Beurteilungspraxis ist somit die Erforderlichkeit energetischer Maßnahmen durch ein entsprechendes Gutachten eines öffentlich bestellten und vereidigten Sachverständigen nachzuweisen. Nur dann und bei Einhalten der in der EnEV genannten Mindestanforderungen ist die erhaltungsrechtliche Genehmigung zu erteilen. Abweichungen von dieser Praxis können sich unter Prüfung des Einzelfalls dann ergeben, wenn aus anderen Rechtsbereichen die Maßnahme zwingend umzusetzen ist oder wenn mit der Inanspruchnahme von Fördermitteln ein besserer als durch die EnEV vorgegebener energetischer Standard erreicht werden soll. Durch Inanspruchnahme von Fördermitteln werden in der Regel höhere energetische Standards erreicht und gleichzeitig die auf die Mieten umlegbaren Kosten reduziert, sodass gleichzeitig den Zielen des Klimaschutzes und des Milieuschutzes Rechnung getragen wird. </w:t>
      </w:r>
    </w:p>
    <w:p>
      <w:pPr>
        <w:spacing w:after="120"/>
        <w:jc w:val="both"/>
        <w:rPr>
          <w:rFonts w:ascii="Arial" w:hAnsi="Arial" w:cs="Arial"/>
          <w:sz w:val="24"/>
          <w:szCs w:val="24"/>
        </w:rPr>
      </w:pPr>
    </w:p>
    <w:p>
      <w:pPr>
        <w:pStyle w:val="Listenabsatz"/>
        <w:numPr>
          <w:ilvl w:val="0"/>
          <w:numId w:val="2"/>
        </w:numPr>
        <w:spacing w:after="120"/>
        <w:ind w:hanging="357"/>
        <w:contextualSpacing w:val="0"/>
        <w:jc w:val="both"/>
        <w:rPr>
          <w:rFonts w:ascii="Arial" w:hAnsi="Arial" w:cs="Arial"/>
          <w:i/>
          <w:sz w:val="24"/>
          <w:szCs w:val="24"/>
        </w:rPr>
      </w:pPr>
      <w:r>
        <w:rPr>
          <w:rFonts w:ascii="Arial" w:hAnsi="Arial" w:cs="Arial"/>
          <w:i/>
          <w:sz w:val="24"/>
          <w:szCs w:val="24"/>
        </w:rPr>
        <w:t xml:space="preserve">Änderungen baulicher Anlagen, die den zeitgemäßen Ausstattungsstandard durchschnittlicher Wohnungen überschreiten. Hierzu gehören insbesondere: </w:t>
      </w:r>
    </w:p>
    <w:p>
      <w:pPr>
        <w:pStyle w:val="Listenabsatz"/>
        <w:spacing w:after="120"/>
        <w:jc w:val="both"/>
        <w:rPr>
          <w:rFonts w:ascii="Arial" w:hAnsi="Arial" w:cs="Arial"/>
          <w:i/>
          <w:sz w:val="24"/>
          <w:szCs w:val="24"/>
        </w:rPr>
      </w:pPr>
      <w:r>
        <w:rPr>
          <w:rFonts w:ascii="Arial" w:hAnsi="Arial" w:cs="Arial"/>
          <w:i/>
          <w:sz w:val="24"/>
          <w:szCs w:val="24"/>
        </w:rPr>
        <w:t>o</w:t>
      </w:r>
      <w:r>
        <w:rPr>
          <w:rFonts w:ascii="Arial" w:hAnsi="Arial" w:cs="Arial"/>
          <w:i/>
          <w:sz w:val="24"/>
          <w:szCs w:val="24"/>
        </w:rPr>
        <w:tab/>
        <w:t>Vergrößerungen bestehender Balkone, Loggien, Terrassen und Wintergärten</w:t>
      </w:r>
    </w:p>
    <w:p>
      <w:pPr>
        <w:pStyle w:val="Listenabsatz"/>
        <w:spacing w:after="120"/>
        <w:jc w:val="both"/>
        <w:rPr>
          <w:rFonts w:ascii="Arial" w:hAnsi="Arial" w:cs="Arial"/>
          <w:i/>
          <w:sz w:val="24"/>
          <w:szCs w:val="24"/>
        </w:rPr>
      </w:pPr>
      <w:r>
        <w:rPr>
          <w:rFonts w:ascii="Arial" w:hAnsi="Arial" w:cs="Arial"/>
          <w:i/>
          <w:sz w:val="24"/>
          <w:szCs w:val="24"/>
        </w:rPr>
        <w:t>o</w:t>
      </w:r>
      <w:r>
        <w:rPr>
          <w:rFonts w:ascii="Arial" w:hAnsi="Arial" w:cs="Arial"/>
          <w:i/>
          <w:sz w:val="24"/>
          <w:szCs w:val="24"/>
        </w:rPr>
        <w:tab/>
        <w:t xml:space="preserve">Einbau einer Fußbodenheizung </w:t>
      </w:r>
    </w:p>
    <w:p>
      <w:pPr>
        <w:pStyle w:val="Listenabsatz"/>
        <w:spacing w:after="120"/>
        <w:jc w:val="both"/>
        <w:rPr>
          <w:rFonts w:ascii="Arial" w:hAnsi="Arial" w:cs="Arial"/>
          <w:i/>
          <w:sz w:val="24"/>
          <w:szCs w:val="24"/>
        </w:rPr>
      </w:pPr>
      <w:r>
        <w:rPr>
          <w:rFonts w:ascii="Arial" w:hAnsi="Arial" w:cs="Arial"/>
          <w:i/>
          <w:sz w:val="24"/>
          <w:szCs w:val="24"/>
        </w:rPr>
        <w:t>o</w:t>
      </w:r>
      <w:r>
        <w:rPr>
          <w:rFonts w:ascii="Arial" w:hAnsi="Arial" w:cs="Arial"/>
          <w:i/>
          <w:sz w:val="24"/>
          <w:szCs w:val="24"/>
        </w:rPr>
        <w:tab/>
        <w:t xml:space="preserve">Einbau eines Kamins </w:t>
      </w:r>
    </w:p>
    <w:p>
      <w:pPr>
        <w:pStyle w:val="Listenabsatz"/>
        <w:spacing w:after="120"/>
        <w:jc w:val="both"/>
        <w:rPr>
          <w:rFonts w:ascii="Arial" w:hAnsi="Arial" w:cs="Arial"/>
          <w:i/>
          <w:sz w:val="24"/>
          <w:szCs w:val="24"/>
        </w:rPr>
      </w:pPr>
      <w:r>
        <w:rPr>
          <w:rFonts w:ascii="Arial" w:hAnsi="Arial" w:cs="Arial"/>
          <w:i/>
          <w:sz w:val="24"/>
          <w:szCs w:val="24"/>
        </w:rPr>
        <w:t>o</w:t>
      </w:r>
      <w:r>
        <w:rPr>
          <w:rFonts w:ascii="Arial" w:hAnsi="Arial" w:cs="Arial"/>
          <w:i/>
          <w:sz w:val="24"/>
          <w:szCs w:val="24"/>
        </w:rPr>
        <w:tab/>
        <w:t>Panoramafenster / bodentiefe Fenster</w:t>
      </w:r>
    </w:p>
    <w:p>
      <w:pPr>
        <w:pStyle w:val="Listenabsatz"/>
        <w:spacing w:after="120"/>
        <w:jc w:val="both"/>
        <w:rPr>
          <w:rFonts w:ascii="Arial" w:hAnsi="Arial" w:cs="Arial"/>
          <w:i/>
          <w:sz w:val="24"/>
          <w:szCs w:val="24"/>
        </w:rPr>
      </w:pPr>
      <w:r>
        <w:rPr>
          <w:rFonts w:ascii="Arial" w:hAnsi="Arial" w:cs="Arial"/>
          <w:i/>
          <w:sz w:val="24"/>
          <w:szCs w:val="24"/>
        </w:rPr>
        <w:t>o</w:t>
      </w:r>
      <w:r>
        <w:rPr>
          <w:rFonts w:ascii="Arial" w:hAnsi="Arial" w:cs="Arial"/>
          <w:i/>
          <w:sz w:val="24"/>
          <w:szCs w:val="24"/>
        </w:rPr>
        <w:tab/>
        <w:t xml:space="preserve">Gegensprechanlage mit Videoübertragung </w:t>
      </w:r>
    </w:p>
    <w:p>
      <w:pPr>
        <w:pStyle w:val="Listenabsatz"/>
        <w:spacing w:after="120"/>
        <w:jc w:val="both"/>
        <w:rPr>
          <w:rFonts w:ascii="Arial" w:hAnsi="Arial" w:cs="Arial"/>
          <w:i/>
          <w:sz w:val="24"/>
          <w:szCs w:val="24"/>
        </w:rPr>
      </w:pPr>
      <w:r>
        <w:rPr>
          <w:rFonts w:ascii="Arial" w:hAnsi="Arial" w:cs="Arial"/>
          <w:i/>
          <w:sz w:val="24"/>
          <w:szCs w:val="24"/>
        </w:rPr>
        <w:t>o</w:t>
      </w:r>
      <w:r>
        <w:rPr>
          <w:rFonts w:ascii="Arial" w:hAnsi="Arial" w:cs="Arial"/>
          <w:i/>
          <w:sz w:val="24"/>
          <w:szCs w:val="24"/>
        </w:rPr>
        <w:tab/>
        <w:t xml:space="preserve">repräsentative Eingangsbereiche und Treppenhäuser </w:t>
      </w:r>
    </w:p>
    <w:p>
      <w:pPr>
        <w:pStyle w:val="Listenabsatz"/>
        <w:spacing w:after="120"/>
        <w:ind w:left="1410" w:hanging="690"/>
        <w:contextualSpacing w:val="0"/>
        <w:jc w:val="both"/>
        <w:rPr>
          <w:rFonts w:ascii="Arial" w:hAnsi="Arial" w:cs="Arial"/>
          <w:i/>
          <w:sz w:val="24"/>
          <w:szCs w:val="24"/>
        </w:rPr>
      </w:pPr>
      <w:r>
        <w:rPr>
          <w:rFonts w:ascii="Arial" w:hAnsi="Arial" w:cs="Arial"/>
          <w:i/>
          <w:sz w:val="24"/>
          <w:szCs w:val="24"/>
        </w:rPr>
        <w:t>o</w:t>
      </w:r>
      <w:r>
        <w:rPr>
          <w:rFonts w:ascii="Arial" w:hAnsi="Arial" w:cs="Arial"/>
          <w:i/>
          <w:sz w:val="24"/>
          <w:szCs w:val="24"/>
        </w:rPr>
        <w:tab/>
        <w:t>sowie weitere bauliche, wohnwerterhöhende Ausstattungsmerkmale, die u.a. im Berliner Mietspiegel enthalten sind.</w:t>
      </w:r>
    </w:p>
    <w:p>
      <w:pPr>
        <w:spacing w:after="120"/>
        <w:jc w:val="both"/>
        <w:rPr>
          <w:rFonts w:ascii="Arial" w:hAnsi="Arial" w:cs="Arial"/>
          <w:sz w:val="24"/>
          <w:szCs w:val="24"/>
        </w:rPr>
      </w:pPr>
      <w:r>
        <w:rPr>
          <w:rFonts w:ascii="Arial" w:hAnsi="Arial" w:cs="Arial"/>
          <w:sz w:val="24"/>
          <w:szCs w:val="24"/>
        </w:rPr>
        <w:t>Alle Maßnahmen, die wesentlich über den zeitgemäßen Ausstattungsstandard unter Berücksichtigung der bauordnungsrechtlichen Mindestanforderungen hinausgehen, werden in der Regel versagt. Die Maßnahmen sind in aller Regel so kostenaufwändig, dass sie einen höherwertigen Ausstattungszustand der Wohnungen und modernisierungsbedingte Mietsteigerungen hervorrufen, die zur Verdrängung der Wohnbevölkerung beitragen können. Sie sind besonders geeignet den Wohnungsbestand so zu verändern, dass sein Preisniveau die Zahlungsfähigkeit der vorhandenen Bevölkerung übersteigt und insofern eine für diese Bevölkerungsstruktur destabilisierende Wirkung hat.</w:t>
      </w:r>
    </w:p>
    <w:p>
      <w:pPr>
        <w:spacing w:after="120"/>
        <w:jc w:val="both"/>
        <w:rPr>
          <w:rFonts w:ascii="Arial" w:hAnsi="Arial" w:cs="Arial"/>
          <w:sz w:val="24"/>
          <w:szCs w:val="24"/>
        </w:rPr>
      </w:pPr>
    </w:p>
    <w:p>
      <w:pPr>
        <w:pStyle w:val="Listenabsatz"/>
        <w:numPr>
          <w:ilvl w:val="0"/>
          <w:numId w:val="2"/>
        </w:numPr>
        <w:jc w:val="both"/>
        <w:rPr>
          <w:rFonts w:ascii="Arial" w:hAnsi="Arial" w:cs="Arial"/>
          <w:i/>
          <w:sz w:val="24"/>
          <w:szCs w:val="24"/>
        </w:rPr>
      </w:pPr>
      <w:r>
        <w:rPr>
          <w:rFonts w:ascii="Arial" w:hAnsi="Arial" w:cs="Arial"/>
          <w:i/>
          <w:sz w:val="24"/>
          <w:szCs w:val="24"/>
        </w:rPr>
        <w:t>Sonstige bauliche Maßnahmen die aufgrund der Vorbildwirkung geeignet sind, Entwicklungen in Gang zu setzen, die tendenziell eine überdurchschnittlich hohe Verdrängungsgefahr für die im Erhaltungsgebiet vorhandene Wohnbevölkerung nach sich ziehen.</w:t>
      </w:r>
    </w:p>
    <w:p>
      <w:pPr>
        <w:jc w:val="both"/>
        <w:rPr>
          <w:rFonts w:ascii="Arial" w:hAnsi="Arial" w:cs="Arial"/>
          <w:sz w:val="24"/>
          <w:szCs w:val="24"/>
        </w:rPr>
      </w:pPr>
      <w:r>
        <w:rPr>
          <w:rFonts w:ascii="Arial" w:hAnsi="Arial" w:cs="Arial"/>
          <w:sz w:val="24"/>
          <w:szCs w:val="24"/>
        </w:rPr>
        <w:t>Die Genehmigungskriterien sind ein Hilfsinstrument, welches Antragstellern und der Behörde als Orientierung dienen soll. Hierbei können Sie aber nicht jeden Einzelfall regeln und jeden Trend vorwegdenken. Daher gibt es in der Genehmigungspraxis immer wieder das Missverständnis, dass alle Maßnahmen die nicht in den Genehmigungskriterien genannt sind, auch nicht der Überprüfung nach dem sozialem Erhaltungsrecht unterfallen.</w:t>
      </w:r>
    </w:p>
    <w:p>
      <w:pPr>
        <w:jc w:val="both"/>
        <w:rPr>
          <w:rFonts w:ascii="Arial" w:hAnsi="Arial" w:cs="Arial"/>
          <w:sz w:val="24"/>
          <w:szCs w:val="24"/>
        </w:rPr>
      </w:pPr>
      <w:r>
        <w:rPr>
          <w:rFonts w:ascii="Arial" w:hAnsi="Arial" w:cs="Arial"/>
          <w:sz w:val="24"/>
          <w:szCs w:val="24"/>
        </w:rPr>
        <w:t>Daher dient dieser Punkt nur der Klarstellung, dass alle Vorhaben, die geeignet sind die Zusammensetzung der Wohnbevölkerung zu verändern oder Entwicklungen in Gang zu setzen, die tendenziell eine überdurchschnittlich hohe Verdrängungsgefahr für die im Erhaltungsgebiet vorhandene Wohnbevölkerung nach sich ziehen können, grundsätzlich unzulässig sin</w:t>
      </w:r>
      <w:r>
        <w:rPr>
          <w:rFonts w:ascii="Arial" w:hAnsi="Arial" w:cs="Arial"/>
          <w:sz w:val="24"/>
          <w:szCs w:val="24"/>
        </w:rPr>
        <w:t>d. Etwas a</w:t>
      </w:r>
      <w:r>
        <w:rPr>
          <w:rFonts w:ascii="Arial" w:hAnsi="Arial" w:cs="Arial"/>
          <w:sz w:val="24"/>
          <w:szCs w:val="24"/>
        </w:rPr>
        <w:t>nderes gilt dann, wenn ein konkreter Genehmigungsanspruch nach § 172 BauGB besteht.</w:t>
      </w:r>
    </w:p>
    <w:p>
      <w:pPr>
        <w:jc w:val="both"/>
        <w:rPr>
          <w:rFonts w:ascii="Arial" w:hAnsi="Arial" w:cs="Arial"/>
          <w:sz w:val="24"/>
          <w:szCs w:val="24"/>
        </w:rPr>
      </w:pPr>
    </w:p>
    <w:p>
      <w:pPr>
        <w:rPr>
          <w:rFonts w:ascii="Arial" w:hAnsi="Arial" w:cs="Arial"/>
          <w:b/>
          <w:sz w:val="24"/>
          <w:szCs w:val="24"/>
        </w:rPr>
      </w:pPr>
      <w:r>
        <w:rPr>
          <w:rFonts w:ascii="Arial" w:hAnsi="Arial" w:cs="Arial"/>
          <w:sz w:val="24"/>
          <w:szCs w:val="24"/>
        </w:rPr>
        <w:t>Abschließend wird darauf hingewiesen, dass das Rückbauen oder Ändern einer baulichen Anlage ohne die entsprechende erhaltungsrechtliche Genehmigung eine Ordnungswidrigkeit gemäß § 213 BauGB darstellt und mit einer Geldbuße bis 30.000,- € geahndet werden kann.</w:t>
      </w:r>
    </w:p>
    <w:sectPr>
      <w:footerReference w:type="default" r:id="rId7"/>
      <w:pgSz w:w="11906" w:h="16838"/>
      <w:pgMar w:top="1134" w:right="1134" w:bottom="2835" w:left="851" w:header="720" w:footer="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hSpace="142" w:wrap="auto" w:vAnchor="page" w:hAnchor="page" w:x="879" w:y="14266" w:anchorLock="1"/>
      <w:pBdr>
        <w:top w:val="single" w:sz="6" w:space="1" w:color="auto"/>
        <w:left w:val="single" w:sz="6" w:space="0" w:color="auto"/>
        <w:bottom w:val="single" w:sz="6" w:space="1" w:color="auto"/>
        <w:right w:val="single" w:sz="6" w:space="0" w:color="auto"/>
      </w:pBdr>
      <w:rPr>
        <w:rFonts w:ascii="Arial" w:hAnsi="Arial"/>
        <w:u w:val="single"/>
      </w:rPr>
    </w:pPr>
    <w:r>
      <w:rPr>
        <w:rFonts w:ascii="Arial" w:hAnsi="Arial"/>
        <w:u w:val="single"/>
      </w:rPr>
      <w:t>Abstimmungsergebnis:</w:t>
    </w:r>
  </w:p>
  <w:p>
    <w:pPr>
      <w:framePr w:hSpace="142" w:wrap="auto" w:vAnchor="page" w:hAnchor="page" w:x="879" w:y="14266" w:anchorLock="1"/>
      <w:pBdr>
        <w:top w:val="single" w:sz="6" w:space="1" w:color="auto"/>
        <w:left w:val="single" w:sz="6" w:space="0" w:color="auto"/>
        <w:bottom w:val="single" w:sz="6" w:space="1" w:color="auto"/>
        <w:right w:val="single" w:sz="6" w:space="0" w:color="auto"/>
      </w:pBdr>
      <w:rPr>
        <w:rFonts w:ascii="Arial" w:hAnsi="Arial"/>
        <w:u w:val="single"/>
      </w:rPr>
    </w:pPr>
  </w:p>
  <w:p>
    <w:pPr>
      <w:framePr w:hSpace="142" w:wrap="auto" w:vAnchor="page" w:hAnchor="page" w:x="879" w:y="14266" w:anchorLock="1"/>
      <w:pBdr>
        <w:top w:val="single" w:sz="6" w:space="1" w:color="auto"/>
        <w:left w:val="single" w:sz="6" w:space="0" w:color="auto"/>
        <w:bottom w:val="single" w:sz="6" w:space="1" w:color="auto"/>
        <w:right w:val="single" w:sz="6" w:space="0" w:color="auto"/>
      </w:pBdr>
      <w:rPr>
        <w:rFonts w:ascii="Arial" w:hAnsi="Arial"/>
      </w:rPr>
    </w:pPr>
    <w:r>
      <w:rPr>
        <w:rFonts w:ascii="Arial" w:hAnsi="Arial"/>
      </w:rPr>
      <w:t>Zur Kenntnis genommen:</w:t>
    </w:r>
    <w:r>
      <w:rPr>
        <w:rFonts w:ascii="Arial" w:hAnsi="Arial"/>
      </w:rPr>
      <w:tab/>
    </w:r>
    <w:r>
      <w:rPr>
        <w:rFonts w:ascii="Arial" w:hAnsi="Arial"/>
      </w:rPr>
      <w:tab/>
    </w:r>
    <w:r>
      <w:rPr>
        <w:rFonts w:ascii="Arial" w:hAnsi="Arial"/>
      </w:rPr>
      <w:tab/>
    </w:r>
    <w:r>
      <w:rPr>
        <w:rFonts w:ascii="Arial" w:hAnsi="Arial"/>
      </w:rPr>
      <w:tab/>
      <w:t>überwiesen:</w:t>
    </w: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66F0F"/>
    <w:multiLevelType w:val="hybridMultilevel"/>
    <w:tmpl w:val="BCA0E2D0"/>
    <w:lvl w:ilvl="0" w:tplc="92705664">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8C7F99"/>
    <w:multiLevelType w:val="hybridMultilevel"/>
    <w:tmpl w:val="E826B6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8E17F0"/>
    <w:multiLevelType w:val="hybridMultilevel"/>
    <w:tmpl w:val="2320D462"/>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C63510"/>
    <w:multiLevelType w:val="hybridMultilevel"/>
    <w:tmpl w:val="2320D462"/>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3C9C37-6462-448E-8B79-A0646400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24"/>
    </w:rPr>
  </w:style>
  <w:style w:type="paragraph" w:styleId="berschrift2">
    <w:name w:val="heading 2"/>
    <w:basedOn w:val="Standard"/>
    <w:next w:val="Standard"/>
    <w:qFormat/>
    <w:pPr>
      <w:keepNext/>
      <w:jc w:val="center"/>
      <w:outlineLvl w:val="1"/>
    </w:pPr>
    <w:rPr>
      <w:rFonts w:ascii="Arial" w:hAnsi="Arial"/>
      <w:b/>
      <w:sz w:val="22"/>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jc w:val="both"/>
    </w:pPr>
    <w:rPr>
      <w:sz w:val="24"/>
    </w:rPr>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uiPriority w:val="99"/>
    <w:pPr>
      <w:spacing w:before="100" w:beforeAutospacing="1" w:after="100" w:afterAutospacing="1"/>
    </w:pPr>
    <w:rPr>
      <w:sz w:val="24"/>
      <w:szCs w:val="24"/>
    </w:rPr>
  </w:style>
  <w:style w:type="character" w:styleId="Hyperlink">
    <w:name w:val="Hyperlink"/>
    <w:rPr>
      <w:color w:val="0000FF"/>
      <w:u w:val="single"/>
    </w:rPr>
  </w:style>
  <w:style w:type="paragraph" w:styleId="Fuzeile">
    <w:name w:val="footer"/>
    <w:basedOn w:val="Standard"/>
    <w:link w:val="FuzeileZchn"/>
    <w:pPr>
      <w:tabs>
        <w:tab w:val="center" w:pos="4819"/>
        <w:tab w:val="right" w:pos="9071"/>
      </w:tabs>
      <w:jc w:val="both"/>
    </w:pPr>
    <w:rPr>
      <w:sz w:val="24"/>
    </w:rPr>
  </w:style>
  <w:style w:type="paragraph" w:styleId="Textkrper">
    <w:name w:val="Body Text"/>
    <w:basedOn w:val="Standard"/>
    <w:rPr>
      <w:rFonts w:ascii="Arial" w:hAnsi="Arial" w:cs="Arial"/>
    </w:rPr>
  </w:style>
  <w:style w:type="paragraph" w:styleId="Textkrper-Zeileneinzug">
    <w:name w:val="Body Text Indent"/>
    <w:basedOn w:val="Standard"/>
    <w:rPr>
      <w:rFonts w:ascii="Arial" w:hAnsi="Arial" w:cs="Arial"/>
      <w:sz w:val="19"/>
      <w:szCs w:val="19"/>
    </w:rPr>
  </w:style>
  <w:style w:type="character" w:customStyle="1" w:styleId="FuzeileZchn">
    <w:name w:val="Fußzeile Zchn"/>
    <w:link w:val="Fuzeile"/>
    <w:semiHidden/>
    <w:locked/>
    <w:rPr>
      <w:sz w:val="24"/>
      <w:lang w:val="de-DE" w:eastAsia="de-DE" w:bidi="ar-SA"/>
    </w:rPr>
  </w:style>
  <w:style w:type="paragraph" w:styleId="Listenabsatz">
    <w:name w:val="List Paragraph"/>
    <w:basedOn w:val="Standard"/>
    <w:uiPriority w:val="34"/>
    <w:qFormat/>
    <w:pPr>
      <w:spacing w:after="160" w:line="259" w:lineRule="auto"/>
      <w:ind w:left="720"/>
      <w:contextualSpacing/>
    </w:pPr>
    <w:rPr>
      <w:rFonts w:ascii="Calibri" w:eastAsia="Calibri" w:hAnsi="Calibri"/>
      <w:sz w:val="22"/>
      <w:szCs w:val="22"/>
      <w:lang w:eastAsia="en-US"/>
    </w:rPr>
  </w:style>
  <w:style w:type="character" w:customStyle="1" w:styleId="KopfzeileZchn">
    <w:name w:val="Kopfzeile Zchn"/>
    <w:link w:val="Kopfzeile"/>
    <w:uiPriority w:val="99"/>
    <w:rPr>
      <w:sz w:val="24"/>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style>
  <w:style w:type="character" w:customStyle="1" w:styleId="KommentartextZchn">
    <w:name w:val="Kommentartext Zchn"/>
    <w:basedOn w:val="Absatz-Standardschriftart"/>
    <w:link w:val="Kommentartext"/>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b/>
      <w:bCs/>
    </w:rPr>
  </w:style>
  <w:style w:type="paragraph" w:styleId="berarbeitung">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2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4249</Words>
  <Characters>29720</Characters>
  <Application>Microsoft Office Word</Application>
  <DocSecurity>0</DocSecurity>
  <Lines>247</Lines>
  <Paragraphs>67</Paragraphs>
  <ScaleCrop>false</ScaleCrop>
  <HeadingPairs>
    <vt:vector size="2" baseType="variant">
      <vt:variant>
        <vt:lpstr>Titel</vt:lpstr>
      </vt:variant>
      <vt:variant>
        <vt:i4>1</vt:i4>
      </vt:variant>
    </vt:vector>
  </HeadingPairs>
  <TitlesOfParts>
    <vt:vector size="1" baseType="lpstr">
      <vt:lpstr>Abteilung Finanzen, Personal, Wirtschaft und Bürgerdienste</vt:lpstr>
    </vt:vector>
  </TitlesOfParts>
  <Company>BA Schöneberg von Berlin</Company>
  <LinksUpToDate>false</LinksUpToDate>
  <CharactersWithSpaces>33902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 Finanzen, Personal, Wirtschaft und Bürgerdienste</dc:title>
  <dc:subject/>
  <dc:creator>BA Schöneberg von Berlin</dc:creator>
  <cp:keywords/>
  <cp:lastModifiedBy>Klotz, Uwe</cp:lastModifiedBy>
  <cp:revision>2</cp:revision>
  <cp:lastPrinted>2020-04-01T08:22:00Z</cp:lastPrinted>
  <dcterms:created xsi:type="dcterms:W3CDTF">2020-06-15T08:37:00Z</dcterms:created>
  <dcterms:modified xsi:type="dcterms:W3CDTF">2020-06-15T08:37:00Z</dcterms:modified>
</cp:coreProperties>
</file>