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sz w:val="22"/>
        </w:rPr>
      </w:pPr>
      <w:bookmarkStart w:id="0" w:name="_GoBack"/>
      <w:bookmarkEnd w:id="0"/>
      <w:r>
        <w:rPr>
          <w:rFonts w:ascii="Arial" w:hAnsi="Arial"/>
          <w:sz w:val="22"/>
        </w:rPr>
        <w:t xml:space="preserve">Bezirksamt Tempelhof-Schöneberg von Berlin </w:t>
      </w:r>
    </w:p>
    <w:p>
      <w:pPr>
        <w:rPr>
          <w:rFonts w:ascii="Arial" w:hAnsi="Arial"/>
          <w:sz w:val="22"/>
        </w:rPr>
      </w:pPr>
      <w:r>
        <w:rPr>
          <w:rFonts w:ascii="Arial" w:hAnsi="Arial"/>
          <w:sz w:val="22"/>
        </w:rPr>
        <w:t>Abteilung Finanzen, Personal und Wirtschaftsförderung</w:t>
      </w:r>
    </w:p>
    <w:p>
      <w:pPr>
        <w:rPr>
          <w:rFonts w:ascii="Arial" w:hAnsi="Arial"/>
          <w:sz w:val="22"/>
        </w:rPr>
      </w:pPr>
      <w:proofErr w:type="spellStart"/>
      <w:r>
        <w:rPr>
          <w:rFonts w:ascii="Arial" w:hAnsi="Arial"/>
          <w:sz w:val="22"/>
        </w:rPr>
        <w:t>BzBmStabInt</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pPr>
        <w:rPr>
          <w:rFonts w:ascii="Arial" w:hAnsi="Arial"/>
          <w:sz w:val="22"/>
        </w:rPr>
      </w:pPr>
    </w:p>
    <w:p>
      <w:pPr>
        <w:pStyle w:val="berschrift2"/>
        <w:tabs>
          <w:tab w:val="left" w:pos="0"/>
        </w:tabs>
      </w:pPr>
      <w:r>
        <w:t>Vorlage</w:t>
      </w:r>
    </w:p>
    <w:p>
      <w:pPr>
        <w:jc w:val="center"/>
        <w:rPr>
          <w:rFonts w:ascii="Arial" w:hAnsi="Arial"/>
          <w:b/>
          <w:sz w:val="22"/>
        </w:rPr>
      </w:pPr>
      <w:r>
        <w:rPr>
          <w:rFonts w:ascii="Arial" w:hAnsi="Arial"/>
          <w:b/>
          <w:sz w:val="22"/>
        </w:rPr>
        <w:t>zur Kenntnisnahme</w:t>
      </w:r>
    </w:p>
    <w:p>
      <w:pPr>
        <w:rPr>
          <w:rFonts w:ascii="Arial" w:hAnsi="Arial"/>
          <w:sz w:val="22"/>
        </w:rPr>
      </w:pPr>
    </w:p>
    <w:p>
      <w:pPr>
        <w:tabs>
          <w:tab w:val="right" w:pos="8931"/>
        </w:tabs>
        <w:jc w:val="center"/>
        <w:rPr>
          <w:rFonts w:ascii="Arial" w:hAnsi="Arial"/>
          <w:sz w:val="22"/>
        </w:rPr>
      </w:pPr>
      <w:r>
        <w:rPr>
          <w:rFonts w:ascii="Arial" w:hAnsi="Arial"/>
          <w:sz w:val="22"/>
        </w:rPr>
        <w:t>für die Sitzung des Bezirksamtes am Dienstag, den 16.06.2020</w:t>
      </w:r>
    </w:p>
    <w:p>
      <w:pPr>
        <w:rPr>
          <w:rFonts w:ascii="Arial" w:hAnsi="Arial"/>
          <w:sz w:val="22"/>
        </w:rPr>
      </w:pPr>
    </w:p>
    <w:p>
      <w:pPr>
        <w:rPr>
          <w:rFonts w:ascii="Arial" w:hAnsi="Arial"/>
          <w:sz w:val="22"/>
        </w:rPr>
      </w:pPr>
    </w:p>
    <w:tbl>
      <w:tblPr>
        <w:tblW w:w="9464" w:type="dxa"/>
        <w:tblLayout w:type="fixed"/>
        <w:tblLook w:val="0000" w:firstRow="0" w:lastRow="0" w:firstColumn="0" w:lastColumn="0" w:noHBand="0" w:noVBand="0"/>
      </w:tblPr>
      <w:tblGrid>
        <w:gridCol w:w="4361"/>
        <w:gridCol w:w="5103"/>
      </w:tblGrid>
      <w:tr>
        <w:tc>
          <w:tcPr>
            <w:tcW w:w="4361" w:type="dxa"/>
          </w:tcPr>
          <w:p>
            <w:pPr>
              <w:snapToGrid w:val="0"/>
              <w:rPr>
                <w:rFonts w:ascii="Arial" w:hAnsi="Arial"/>
                <w:sz w:val="22"/>
              </w:rPr>
            </w:pPr>
            <w:r>
              <w:rPr>
                <w:rFonts w:ascii="Arial" w:hAnsi="Arial"/>
                <w:sz w:val="22"/>
              </w:rPr>
              <w:t>1.   Gegenstand der Vorlage:</w:t>
            </w:r>
          </w:p>
        </w:tc>
        <w:tc>
          <w:tcPr>
            <w:tcW w:w="5103" w:type="dxa"/>
          </w:tcPr>
          <w:p>
            <w:pPr>
              <w:snapToGrid w:val="0"/>
              <w:rPr>
                <w:rFonts w:ascii="Arial" w:hAnsi="Arial"/>
                <w:sz w:val="22"/>
                <w:szCs w:val="22"/>
              </w:rPr>
            </w:pPr>
            <w:r>
              <w:rPr>
                <w:rFonts w:ascii="Arial" w:hAnsi="Arial"/>
                <w:sz w:val="22"/>
                <w:szCs w:val="22"/>
              </w:rPr>
              <w:t>Handlungskonzept BENN 2020</w:t>
            </w:r>
          </w:p>
          <w:p>
            <w:pPr>
              <w:snapToGrid w:val="0"/>
              <w:rPr>
                <w:rFonts w:ascii="Arial" w:hAnsi="Arial"/>
                <w:sz w:val="22"/>
                <w:szCs w:val="22"/>
              </w:rPr>
            </w:pPr>
          </w:p>
        </w:tc>
      </w:tr>
      <w:tr>
        <w:tc>
          <w:tcPr>
            <w:tcW w:w="4361" w:type="dxa"/>
          </w:tcPr>
          <w:p>
            <w:pPr>
              <w:snapToGrid w:val="0"/>
              <w:rPr>
                <w:rFonts w:ascii="Arial" w:hAnsi="Arial"/>
                <w:sz w:val="22"/>
              </w:rPr>
            </w:pPr>
            <w:r>
              <w:rPr>
                <w:rFonts w:ascii="Arial" w:hAnsi="Arial"/>
                <w:sz w:val="22"/>
              </w:rPr>
              <w:t>2.   Berichterstatterin:</w:t>
            </w:r>
          </w:p>
        </w:tc>
        <w:tc>
          <w:tcPr>
            <w:tcW w:w="5103" w:type="dxa"/>
          </w:tcPr>
          <w:p>
            <w:pPr>
              <w:snapToGrid w:val="0"/>
              <w:rPr>
                <w:rFonts w:ascii="Arial" w:hAnsi="Arial"/>
                <w:sz w:val="22"/>
                <w:szCs w:val="22"/>
              </w:rPr>
            </w:pPr>
            <w:r>
              <w:rPr>
                <w:rFonts w:ascii="Arial" w:hAnsi="Arial"/>
                <w:sz w:val="22"/>
                <w:szCs w:val="22"/>
              </w:rPr>
              <w:t>Bezirksbürgermeisterin Schöttler</w:t>
            </w:r>
          </w:p>
          <w:p>
            <w:pPr>
              <w:rPr>
                <w:rFonts w:ascii="Arial" w:hAnsi="Arial"/>
                <w:sz w:val="22"/>
                <w:szCs w:val="22"/>
              </w:rPr>
            </w:pPr>
          </w:p>
        </w:tc>
      </w:tr>
      <w:tr>
        <w:tc>
          <w:tcPr>
            <w:tcW w:w="4361" w:type="dxa"/>
          </w:tcPr>
          <w:p>
            <w:pPr>
              <w:snapToGrid w:val="0"/>
              <w:rPr>
                <w:rFonts w:ascii="Arial" w:hAnsi="Arial"/>
                <w:sz w:val="22"/>
              </w:rPr>
            </w:pPr>
            <w:r>
              <w:rPr>
                <w:rFonts w:ascii="Arial" w:hAnsi="Arial"/>
                <w:sz w:val="22"/>
              </w:rPr>
              <w:t>3.   Beschluss:</w:t>
            </w:r>
          </w:p>
        </w:tc>
        <w:tc>
          <w:tcPr>
            <w:tcW w:w="5103" w:type="dxa"/>
          </w:tcPr>
          <w:p>
            <w:pPr>
              <w:snapToGrid w:val="0"/>
              <w:rPr>
                <w:rFonts w:ascii="Arial" w:hAnsi="Arial"/>
                <w:sz w:val="22"/>
                <w:szCs w:val="22"/>
              </w:rPr>
            </w:pPr>
            <w:r>
              <w:rPr>
                <w:rFonts w:ascii="Arial" w:hAnsi="Arial"/>
                <w:sz w:val="22"/>
                <w:szCs w:val="22"/>
              </w:rPr>
              <w:t>Das Bezirksamt nimmt das Handlungskonzept 2020 von BENN Marienfelde vor der Weiterleitung an die Senatsverwaltung für Stadtentwicklung und Wohnen zur Kenntnis.</w:t>
            </w:r>
          </w:p>
          <w:p>
            <w:pPr>
              <w:snapToGrid w:val="0"/>
            </w:pPr>
          </w:p>
        </w:tc>
      </w:tr>
      <w:tr>
        <w:tc>
          <w:tcPr>
            <w:tcW w:w="4361" w:type="dxa"/>
          </w:tcPr>
          <w:p>
            <w:pPr>
              <w:snapToGrid w:val="0"/>
              <w:rPr>
                <w:rFonts w:ascii="Arial" w:hAnsi="Arial"/>
                <w:sz w:val="22"/>
              </w:rPr>
            </w:pPr>
            <w:r>
              <w:rPr>
                <w:rFonts w:ascii="Arial" w:hAnsi="Arial"/>
                <w:sz w:val="22"/>
              </w:rPr>
              <w:t>4.   Begründung:</w:t>
            </w:r>
          </w:p>
        </w:tc>
        <w:tc>
          <w:tcPr>
            <w:tcW w:w="5103" w:type="dxa"/>
          </w:tcPr>
          <w:p>
            <w:pPr>
              <w:rPr>
                <w:rFonts w:ascii="Arial" w:hAnsi="Arial"/>
                <w:sz w:val="22"/>
              </w:rPr>
            </w:pPr>
            <w:r>
              <w:rPr>
                <w:rFonts w:ascii="Arial" w:hAnsi="Arial"/>
                <w:sz w:val="22"/>
              </w:rPr>
              <w:t xml:space="preserve">Der Träger AG SPAS des BENN-Verfahrens Marienfelde ist verpflichtet, jährlich ein Handlungskonzept zu erstellen. Dieses soll im Vorfeld mit dem Bezirksamt abgestimmt sein. Bereits bei der Erstellung des Konzeptes sind verschiedene Abteilungen des Bezirksamtes, wie beispielsweise die Bezirkskoordinatorin für BENN, die Koordinatorin für Flüchtlingsfragen, die Integrationsbeauftragte, das Jugendamt, OE SPK, einbezogen worden. Die Frist zur Einreichung des Handlungskonzeptes bei der Senatsverwaltung für Stadtentwicklung und Wohnen für die AG SPAS ist der 30.06.2020. </w:t>
            </w:r>
          </w:p>
          <w:p>
            <w:pPr>
              <w:rPr>
                <w:rFonts w:ascii="Arial" w:hAnsi="Arial"/>
                <w:sz w:val="22"/>
              </w:rPr>
            </w:pPr>
          </w:p>
        </w:tc>
      </w:tr>
      <w:tr>
        <w:tc>
          <w:tcPr>
            <w:tcW w:w="4361" w:type="dxa"/>
          </w:tcPr>
          <w:p>
            <w:pPr>
              <w:snapToGrid w:val="0"/>
              <w:rPr>
                <w:rFonts w:ascii="Arial" w:hAnsi="Arial"/>
                <w:sz w:val="22"/>
              </w:rPr>
            </w:pPr>
            <w:r>
              <w:rPr>
                <w:rFonts w:ascii="Arial" w:hAnsi="Arial"/>
                <w:sz w:val="22"/>
              </w:rPr>
              <w:t>5.    Rechtsgrundlage</w:t>
            </w:r>
          </w:p>
        </w:tc>
        <w:tc>
          <w:tcPr>
            <w:tcW w:w="5103" w:type="dxa"/>
          </w:tcPr>
          <w:p>
            <w:pPr>
              <w:snapToGrid w:val="0"/>
              <w:rPr>
                <w:rFonts w:ascii="Arial" w:hAnsi="Arial"/>
                <w:sz w:val="22"/>
                <w:szCs w:val="22"/>
              </w:rPr>
            </w:pPr>
            <w:r>
              <w:rPr>
                <w:rFonts w:ascii="Arial" w:hAnsi="Arial"/>
                <w:sz w:val="22"/>
                <w:szCs w:val="22"/>
              </w:rPr>
              <w:t xml:space="preserve">§ 36 Abs. 2 </w:t>
            </w:r>
            <w:proofErr w:type="spellStart"/>
            <w:r>
              <w:rPr>
                <w:rFonts w:ascii="Arial" w:hAnsi="Arial"/>
                <w:sz w:val="22"/>
                <w:szCs w:val="22"/>
              </w:rPr>
              <w:t>BezVG</w:t>
            </w:r>
            <w:proofErr w:type="spellEnd"/>
          </w:p>
          <w:p>
            <w:pPr>
              <w:snapToGrid w:val="0"/>
              <w:rPr>
                <w:rFonts w:ascii="Arial" w:hAnsi="Arial"/>
                <w:sz w:val="22"/>
                <w:szCs w:val="22"/>
              </w:rPr>
            </w:pPr>
          </w:p>
        </w:tc>
      </w:tr>
      <w:tr>
        <w:tc>
          <w:tcPr>
            <w:tcW w:w="4361" w:type="dxa"/>
          </w:tcPr>
          <w:p>
            <w:pPr>
              <w:snapToGrid w:val="0"/>
              <w:rPr>
                <w:rFonts w:ascii="Arial" w:hAnsi="Arial"/>
                <w:sz w:val="22"/>
              </w:rPr>
            </w:pPr>
            <w:r>
              <w:rPr>
                <w:rFonts w:ascii="Arial" w:hAnsi="Arial"/>
                <w:sz w:val="22"/>
              </w:rPr>
              <w:t>6.    Auswirkungen auf die Gleichstellung</w:t>
            </w:r>
          </w:p>
          <w:p>
            <w:pPr>
              <w:rPr>
                <w:rFonts w:ascii="Arial" w:hAnsi="Arial"/>
                <w:sz w:val="22"/>
              </w:rPr>
            </w:pPr>
            <w:r>
              <w:rPr>
                <w:rFonts w:ascii="Arial" w:hAnsi="Arial"/>
                <w:sz w:val="22"/>
              </w:rPr>
              <w:t xml:space="preserve">       der Geschlechter</w:t>
            </w:r>
          </w:p>
        </w:tc>
        <w:tc>
          <w:tcPr>
            <w:tcW w:w="5103" w:type="dxa"/>
          </w:tcPr>
          <w:p>
            <w:pPr>
              <w:snapToGrid w:val="0"/>
              <w:ind w:left="72"/>
              <w:rPr>
                <w:rFonts w:ascii="Arial" w:hAnsi="Arial"/>
                <w:sz w:val="22"/>
              </w:rPr>
            </w:pPr>
          </w:p>
          <w:p>
            <w:pPr>
              <w:ind w:left="72"/>
              <w:rPr>
                <w:rFonts w:ascii="Arial" w:hAnsi="Arial"/>
                <w:sz w:val="22"/>
              </w:rPr>
            </w:pPr>
            <w:r>
              <w:rPr>
                <w:rFonts w:ascii="Arial" w:hAnsi="Arial"/>
                <w:sz w:val="22"/>
              </w:rPr>
              <w:t>Keine</w:t>
            </w:r>
          </w:p>
          <w:p>
            <w:pPr>
              <w:ind w:left="72"/>
              <w:rPr>
                <w:rFonts w:ascii="Arial" w:hAnsi="Arial"/>
                <w:sz w:val="22"/>
              </w:rPr>
            </w:pPr>
          </w:p>
          <w:p>
            <w:pPr>
              <w:ind w:left="72"/>
              <w:rPr>
                <w:rFonts w:ascii="Arial" w:hAnsi="Arial"/>
                <w:sz w:val="22"/>
              </w:rPr>
            </w:pPr>
            <w:r>
              <w:rPr>
                <w:rFonts w:ascii="Arial" w:hAnsi="Arial"/>
                <w:sz w:val="22"/>
              </w:rPr>
              <w:t xml:space="preserve"> </w:t>
            </w:r>
          </w:p>
        </w:tc>
      </w:tr>
      <w:tr>
        <w:tc>
          <w:tcPr>
            <w:tcW w:w="4361" w:type="dxa"/>
          </w:tcPr>
          <w:p>
            <w:pPr>
              <w:snapToGrid w:val="0"/>
              <w:rPr>
                <w:rFonts w:ascii="Arial" w:hAnsi="Arial"/>
                <w:sz w:val="22"/>
              </w:rPr>
            </w:pPr>
            <w:r>
              <w:rPr>
                <w:rFonts w:ascii="Arial" w:hAnsi="Arial"/>
                <w:sz w:val="22"/>
              </w:rPr>
              <w:t>7.    Haushaltsmäßige/</w:t>
            </w:r>
          </w:p>
          <w:p>
            <w:pPr>
              <w:rPr>
                <w:rFonts w:ascii="Arial" w:hAnsi="Arial"/>
                <w:sz w:val="22"/>
              </w:rPr>
            </w:pPr>
            <w:r>
              <w:rPr>
                <w:rFonts w:ascii="Arial" w:hAnsi="Arial"/>
                <w:sz w:val="22"/>
              </w:rPr>
              <w:t xml:space="preserve">       Personalwirtschaftliche Auswirkungen</w:t>
            </w:r>
          </w:p>
          <w:p>
            <w:pPr>
              <w:rPr>
                <w:rFonts w:ascii="Arial" w:hAnsi="Arial"/>
                <w:sz w:val="22"/>
              </w:rPr>
            </w:pPr>
          </w:p>
        </w:tc>
        <w:tc>
          <w:tcPr>
            <w:tcW w:w="5103" w:type="dxa"/>
          </w:tcPr>
          <w:p>
            <w:pPr>
              <w:snapToGrid w:val="0"/>
              <w:ind w:left="72"/>
              <w:rPr>
                <w:rFonts w:ascii="Arial" w:hAnsi="Arial"/>
                <w:sz w:val="22"/>
              </w:rPr>
            </w:pPr>
            <w:r>
              <w:rPr>
                <w:rFonts w:ascii="Arial" w:hAnsi="Arial"/>
                <w:sz w:val="22"/>
              </w:rPr>
              <w:t>Auf bezirklichen Haushalt keine Auswirkungen, da Mittel des Senats</w:t>
            </w:r>
          </w:p>
        </w:tc>
      </w:tr>
      <w:tr>
        <w:tc>
          <w:tcPr>
            <w:tcW w:w="4361" w:type="dxa"/>
          </w:tcPr>
          <w:p>
            <w:pPr>
              <w:snapToGrid w:val="0"/>
              <w:rPr>
                <w:rFonts w:ascii="Arial" w:hAnsi="Arial"/>
                <w:sz w:val="22"/>
              </w:rPr>
            </w:pPr>
            <w:r>
              <w:rPr>
                <w:rFonts w:ascii="Arial" w:hAnsi="Arial"/>
                <w:sz w:val="22"/>
              </w:rPr>
              <w:t>8.    Nachhaltigkeit (siehe Anlage)</w:t>
            </w:r>
          </w:p>
          <w:p>
            <w:pPr>
              <w:rPr>
                <w:rFonts w:ascii="Arial" w:hAnsi="Arial"/>
                <w:sz w:val="22"/>
              </w:rPr>
            </w:pPr>
          </w:p>
        </w:tc>
        <w:tc>
          <w:tcPr>
            <w:tcW w:w="5103" w:type="dxa"/>
          </w:tcPr>
          <w:p>
            <w:pPr>
              <w:snapToGrid w:val="0"/>
              <w:ind w:left="72"/>
              <w:rPr>
                <w:rFonts w:ascii="Arial" w:hAnsi="Arial"/>
                <w:sz w:val="22"/>
              </w:rPr>
            </w:pPr>
          </w:p>
        </w:tc>
      </w:tr>
      <w:tr>
        <w:tc>
          <w:tcPr>
            <w:tcW w:w="4361" w:type="dxa"/>
          </w:tcPr>
          <w:p>
            <w:pPr>
              <w:snapToGrid w:val="0"/>
              <w:rPr>
                <w:rFonts w:ascii="Arial" w:hAnsi="Arial"/>
                <w:sz w:val="22"/>
              </w:rPr>
            </w:pPr>
            <w:r>
              <w:rPr>
                <w:rFonts w:ascii="Arial" w:hAnsi="Arial"/>
                <w:sz w:val="22"/>
              </w:rPr>
              <w:t>9.    Unterrichtung BVV</w:t>
            </w:r>
          </w:p>
          <w:p>
            <w:pPr>
              <w:rPr>
                <w:rFonts w:ascii="Arial" w:hAnsi="Arial"/>
                <w:sz w:val="22"/>
              </w:rPr>
            </w:pPr>
          </w:p>
        </w:tc>
        <w:tc>
          <w:tcPr>
            <w:tcW w:w="5103" w:type="dxa"/>
          </w:tcPr>
          <w:p>
            <w:pPr>
              <w:snapToGrid w:val="0"/>
              <w:ind w:left="72"/>
              <w:rPr>
                <w:rFonts w:ascii="Arial" w:hAnsi="Arial"/>
                <w:sz w:val="22"/>
              </w:rPr>
            </w:pPr>
            <w:r>
              <w:rPr>
                <w:rFonts w:ascii="Arial" w:hAnsi="Arial"/>
                <w:sz w:val="22"/>
              </w:rPr>
              <w:t>keine</w:t>
            </w:r>
            <w:r>
              <w:rPr>
                <w:rFonts w:ascii="Arial" w:hAnsi="Arial"/>
                <w:strike/>
                <w:sz w:val="22"/>
              </w:rPr>
              <w:t xml:space="preserve"> </w:t>
            </w:r>
            <w:r>
              <w:rPr>
                <w:rFonts w:ascii="Arial" w:hAnsi="Arial"/>
                <w:sz w:val="22"/>
              </w:rPr>
              <w:t xml:space="preserve"> </w:t>
            </w:r>
          </w:p>
        </w:tc>
      </w:tr>
      <w:tr>
        <w:tc>
          <w:tcPr>
            <w:tcW w:w="4361" w:type="dxa"/>
          </w:tcPr>
          <w:p>
            <w:pPr>
              <w:snapToGrid w:val="0"/>
              <w:rPr>
                <w:rFonts w:ascii="Arial" w:hAnsi="Arial"/>
                <w:sz w:val="22"/>
              </w:rPr>
            </w:pPr>
            <w:r>
              <w:rPr>
                <w:rFonts w:ascii="Arial" w:hAnsi="Arial"/>
                <w:sz w:val="22"/>
              </w:rPr>
              <w:t>10.  Mitzeichnung</w:t>
            </w:r>
          </w:p>
        </w:tc>
        <w:tc>
          <w:tcPr>
            <w:tcW w:w="5103" w:type="dxa"/>
          </w:tcPr>
          <w:p>
            <w:pPr>
              <w:snapToGrid w:val="0"/>
              <w:ind w:left="72"/>
              <w:rPr>
                <w:rFonts w:ascii="Arial" w:hAnsi="Arial"/>
                <w:sz w:val="22"/>
              </w:rPr>
            </w:pPr>
          </w:p>
          <w:p>
            <w:pPr>
              <w:snapToGrid w:val="0"/>
              <w:rPr>
                <w:rFonts w:ascii="Arial" w:hAnsi="Arial"/>
                <w:sz w:val="22"/>
              </w:rPr>
            </w:pPr>
          </w:p>
        </w:tc>
      </w:tr>
    </w:tbl>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p>
    <w:p>
      <w:pPr>
        <w:ind w:left="3540" w:hanging="3540"/>
        <w:rPr>
          <w:rFonts w:ascii="Arial" w:hAnsi="Arial"/>
          <w:sz w:val="22"/>
        </w:rPr>
      </w:pPr>
      <w:r>
        <w:rPr>
          <w:rFonts w:ascii="Arial" w:hAnsi="Arial"/>
          <w:sz w:val="22"/>
        </w:rPr>
        <w:t>Schöttler</w:t>
      </w:r>
    </w:p>
    <w:p>
      <w:pPr>
        <w:ind w:left="3540" w:hanging="3540"/>
        <w:rPr>
          <w:rFonts w:ascii="Arial" w:hAnsi="Arial"/>
          <w:sz w:val="22"/>
        </w:rPr>
      </w:pPr>
      <w:r>
        <w:rPr>
          <w:rFonts w:ascii="Arial" w:hAnsi="Arial"/>
          <w:sz w:val="22"/>
        </w:rPr>
        <w:t>Bezirksbürgermeisterin</w:t>
      </w:r>
    </w:p>
    <w:p>
      <w:pPr>
        <w:ind w:left="3540" w:hanging="3540"/>
        <w:rPr>
          <w:rFonts w:ascii="Arial" w:hAnsi="Arial"/>
          <w:sz w:val="22"/>
        </w:rPr>
        <w:sectPr>
          <w:pgSz w:w="11906" w:h="16838"/>
          <w:pgMar w:top="1418" w:right="1418" w:bottom="1134" w:left="1418" w:header="720" w:footer="720" w:gutter="0"/>
          <w:cols w:space="720"/>
        </w:sectPr>
      </w:pPr>
    </w:p>
    <w:p>
      <w:pPr>
        <w:pStyle w:val="berschrift1"/>
        <w:rPr>
          <w:sz w:val="22"/>
        </w:rPr>
      </w:pPr>
      <w:r>
        <w:rPr>
          <w:sz w:val="22"/>
        </w:rPr>
        <w:lastRenderedPageBreak/>
        <w:t>Musterblatt Auswirkungen von Bezirksamtbeschlüssen auf eine nachhaltige Entwicklung im Sinne der Lokalen Agenda 21</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977"/>
        <w:gridCol w:w="1188"/>
        <w:gridCol w:w="1443"/>
        <w:gridCol w:w="1442"/>
        <w:gridCol w:w="1172"/>
        <w:gridCol w:w="3156"/>
      </w:tblGrid>
      <w:tr>
        <w:tc>
          <w:tcPr>
            <w:tcW w:w="3047" w:type="dxa"/>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Nachhaltigkeitskriterium</w:t>
            </w:r>
          </w:p>
        </w:tc>
        <w:tc>
          <w:tcPr>
            <w:tcW w:w="2977" w:type="dxa"/>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keine Auswirkungen</w:t>
            </w:r>
          </w:p>
        </w:tc>
        <w:tc>
          <w:tcPr>
            <w:tcW w:w="2631" w:type="dxa"/>
            <w:gridSpan w:val="2"/>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positive Auswirkungen</w:t>
            </w:r>
          </w:p>
        </w:tc>
        <w:tc>
          <w:tcPr>
            <w:tcW w:w="2614" w:type="dxa"/>
            <w:gridSpan w:val="2"/>
            <w:tcBorders>
              <w:top w:val="single" w:sz="4" w:space="0" w:color="auto"/>
              <w:left w:val="single" w:sz="4" w:space="0" w:color="auto"/>
              <w:bottom w:val="nil"/>
              <w:right w:val="single" w:sz="4" w:space="0" w:color="auto"/>
            </w:tcBorders>
            <w:shd w:val="clear" w:color="auto" w:fill="FFCC99"/>
          </w:tcPr>
          <w:p>
            <w:pPr>
              <w:rPr>
                <w:rFonts w:ascii="Arial" w:hAnsi="Arial" w:cs="Arial"/>
                <w:b/>
                <w:sz w:val="21"/>
              </w:rPr>
            </w:pPr>
            <w:r>
              <w:rPr>
                <w:rFonts w:ascii="Arial" w:hAnsi="Arial" w:cs="Arial"/>
                <w:b/>
                <w:sz w:val="21"/>
              </w:rPr>
              <w:t>negative Auswirkungen</w:t>
            </w:r>
          </w:p>
        </w:tc>
        <w:tc>
          <w:tcPr>
            <w:tcW w:w="3156" w:type="dxa"/>
            <w:tcBorders>
              <w:top w:val="single" w:sz="4" w:space="0" w:color="auto"/>
              <w:left w:val="single" w:sz="4" w:space="0" w:color="auto"/>
              <w:bottom w:val="nil"/>
              <w:right w:val="single" w:sz="4" w:space="0" w:color="auto"/>
            </w:tcBorders>
            <w:shd w:val="clear" w:color="auto" w:fill="FFCC99"/>
          </w:tcPr>
          <w:p>
            <w:pPr>
              <w:pStyle w:val="berschrift2"/>
              <w:rPr>
                <w:rFonts w:cs="Arial"/>
                <w:sz w:val="21"/>
              </w:rPr>
            </w:pPr>
            <w:r>
              <w:rPr>
                <w:rFonts w:cs="Arial"/>
                <w:sz w:val="21"/>
              </w:rPr>
              <w:t>Bemerkungen</w:t>
            </w:r>
          </w:p>
        </w:tc>
      </w:tr>
      <w:tr>
        <w:tc>
          <w:tcPr>
            <w:tcW w:w="3047" w:type="dxa"/>
            <w:tcBorders>
              <w:top w:val="nil"/>
              <w:left w:val="single" w:sz="4" w:space="0" w:color="auto"/>
              <w:bottom w:val="single" w:sz="4" w:space="0" w:color="auto"/>
              <w:right w:val="single" w:sz="4" w:space="0" w:color="auto"/>
            </w:tcBorders>
            <w:shd w:val="clear" w:color="auto" w:fill="FFCC99"/>
          </w:tcPr>
          <w:p>
            <w:pPr>
              <w:rPr>
                <w:rFonts w:ascii="Arial" w:hAnsi="Arial" w:cs="Arial"/>
              </w:rPr>
            </w:pPr>
          </w:p>
        </w:tc>
        <w:tc>
          <w:tcPr>
            <w:tcW w:w="2977"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tc>
        <w:tc>
          <w:tcPr>
            <w:tcW w:w="1188"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quantitativ</w:t>
            </w:r>
          </w:p>
        </w:tc>
        <w:tc>
          <w:tcPr>
            <w:tcW w:w="1443"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qualitativ</w:t>
            </w:r>
          </w:p>
        </w:tc>
        <w:tc>
          <w:tcPr>
            <w:tcW w:w="1442"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quantitativ</w:t>
            </w:r>
          </w:p>
        </w:tc>
        <w:tc>
          <w:tcPr>
            <w:tcW w:w="1172"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p>
            <w:pPr>
              <w:rPr>
                <w:rFonts w:ascii="Arial" w:hAnsi="Arial" w:cs="Arial"/>
                <w:b/>
              </w:rPr>
            </w:pPr>
            <w:r>
              <w:rPr>
                <w:rFonts w:ascii="Arial" w:hAnsi="Arial" w:cs="Arial"/>
                <w:b/>
              </w:rPr>
              <w:t>qualitativ</w:t>
            </w:r>
          </w:p>
        </w:tc>
        <w:tc>
          <w:tcPr>
            <w:tcW w:w="3156" w:type="dxa"/>
            <w:tcBorders>
              <w:top w:val="nil"/>
              <w:left w:val="single" w:sz="4" w:space="0" w:color="auto"/>
              <w:bottom w:val="single" w:sz="4" w:space="0" w:color="auto"/>
              <w:right w:val="single" w:sz="4" w:space="0" w:color="auto"/>
            </w:tcBorders>
            <w:shd w:val="clear" w:color="auto" w:fill="FFCC99"/>
          </w:tcPr>
          <w:p>
            <w:pPr>
              <w:rPr>
                <w:rFonts w:ascii="Arial" w:hAnsi="Arial" w:cs="Arial"/>
                <w:b/>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 Fläche</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2.  Wasser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3.  Energie</w:t>
            </w:r>
          </w:p>
          <w:p>
            <w:pPr>
              <w:pStyle w:val="Textkrper"/>
            </w:pPr>
            <w:r>
              <w:rPr>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4.  Abfall</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5.  Verkehr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6.  Immissionen</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7.  Einschränkung von Fauna </w:t>
            </w:r>
            <w:r>
              <w:rPr>
                <w:rFonts w:ascii="Arial" w:hAnsi="Arial" w:cs="Arial"/>
                <w:sz w:val="19"/>
              </w:rPr>
              <w:br/>
              <w:t xml:space="preserve">     und Flora</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8.  Bildungsangebot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9.  Kulturangebot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10. Freizeitangebot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pStyle w:val="Textkrper-Zeileneinzug"/>
            </w:pPr>
            <w:r>
              <w:t>11. Partizipation in Entschei-</w:t>
            </w:r>
            <w:r>
              <w:br/>
              <w:t xml:space="preserve">      dungsprozessen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12. Arbeitslosenquote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13. Ausbildungsplätze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14. Betriebsansiedlungen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15. Wirtschaft. Diversifizierung </w:t>
            </w:r>
            <w:r>
              <w:rPr>
                <w:rFonts w:ascii="Arial" w:hAnsi="Arial" w:cs="Arial"/>
                <w:sz w:val="19"/>
              </w:rPr>
              <w:br/>
              <w:t xml:space="preserve">      nach Branchen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16. Demografischer Wandel</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p>
        </w:tc>
      </w:tr>
    </w:tbl>
    <w:p>
      <w:pPr>
        <w:rPr>
          <w:sz w:val="22"/>
        </w:rPr>
      </w:pPr>
    </w:p>
    <w:p>
      <w:r>
        <w:rPr>
          <w:sz w:val="22"/>
        </w:rPr>
        <w:t>Entsprechende Auswirkungen sind lediglich anzukreuzen.</w:t>
      </w:r>
    </w:p>
    <w:p>
      <w:pPr>
        <w:jc w:val="center"/>
      </w:pPr>
      <w:r>
        <w:t xml:space="preserve"> </w:t>
      </w:r>
    </w:p>
    <w:p>
      <w:pPr>
        <w:rPr>
          <w:rFonts w:ascii="Arial" w:hAnsi="Arial"/>
          <w:sz w:val="24"/>
          <w:szCs w:val="24"/>
        </w:rPr>
      </w:pPr>
    </w:p>
    <w:sectPr>
      <w:pgSz w:w="16838" w:h="11906" w:orient="landscape"/>
      <w:pgMar w:top="1134" w:right="141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1AB2"/>
    <w:multiLevelType w:val="singleLevel"/>
    <w:tmpl w:val="C60C3492"/>
    <w:lvl w:ilvl="0">
      <w:start w:val="1"/>
      <w:numFmt w:val="lowerLetter"/>
      <w:lvlText w:val="%1)"/>
      <w:lvlJc w:val="left"/>
      <w:pPr>
        <w:tabs>
          <w:tab w:val="num" w:pos="573"/>
        </w:tabs>
        <w:ind w:left="573" w:hanging="360"/>
      </w:pPr>
    </w:lvl>
  </w:abstractNum>
  <w:abstractNum w:abstractNumId="1" w15:restartNumberingAfterBreak="0">
    <w:nsid w:val="1AA15937"/>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1E991CF2"/>
    <w:multiLevelType w:val="hybridMultilevel"/>
    <w:tmpl w:val="DD328124"/>
    <w:lvl w:ilvl="0" w:tplc="FFFFFFFF">
      <w:numFmt w:val="bullet"/>
      <w:lvlText w:val="-"/>
      <w:lvlJc w:val="left"/>
      <w:pPr>
        <w:tabs>
          <w:tab w:val="num" w:pos="573"/>
        </w:tabs>
        <w:ind w:left="573"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54B861A4"/>
    <w:multiLevelType w:val="hybridMultilevel"/>
    <w:tmpl w:val="277C1A00"/>
    <w:lvl w:ilvl="0" w:tplc="FFFFFFFF">
      <w:numFmt w:val="bullet"/>
      <w:lvlText w:val="-"/>
      <w:lvlJc w:val="left"/>
      <w:pPr>
        <w:tabs>
          <w:tab w:val="num" w:pos="1563"/>
        </w:tabs>
        <w:ind w:left="1563" w:hanging="855"/>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5327D6"/>
    <w:multiLevelType w:val="hybridMultilevel"/>
    <w:tmpl w:val="338265FC"/>
    <w:lvl w:ilvl="0" w:tplc="1C5C363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60363C"/>
    <w:multiLevelType w:val="singleLevel"/>
    <w:tmpl w:val="D7683394"/>
    <w:lvl w:ilvl="0">
      <w:start w:val="2"/>
      <w:numFmt w:val="decimal"/>
      <w:lvlText w:val="%1"/>
      <w:lvlJc w:val="left"/>
      <w:pPr>
        <w:tabs>
          <w:tab w:val="num" w:pos="360"/>
        </w:tabs>
        <w:ind w:left="360" w:hanging="360"/>
      </w:pPr>
      <w:rPr>
        <w:rFonts w:hint="default"/>
      </w:rPr>
    </w:lvl>
  </w:abstractNum>
  <w:abstractNum w:abstractNumId="6" w15:restartNumberingAfterBreak="0">
    <w:nsid w:val="7F262177"/>
    <w:multiLevelType w:val="hybridMultilevel"/>
    <w:tmpl w:val="88AEF504"/>
    <w:lvl w:ilvl="0" w:tplc="FFFFFFFF">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FEA187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752791-AA8A-4A27-ADDF-61E98376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jc w:val="center"/>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jc w:val="both"/>
    </w:pPr>
    <w:rPr>
      <w:sz w:val="24"/>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rPr>
  </w:style>
  <w:style w:type="character" w:styleId="Hyperlink">
    <w:name w:val="Hyperlink"/>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Pr>
      <w:rFonts w:ascii="Arial" w:hAnsi="Arial" w:cs="Arial"/>
    </w:rPr>
  </w:style>
  <w:style w:type="paragraph" w:styleId="Textkrper-Zeileneinzug">
    <w:name w:val="Body Text Indent"/>
    <w:basedOn w:val="Standard"/>
    <w:rPr>
      <w:rFonts w:ascii="Arial" w:hAnsi="Arial" w:cs="Arial"/>
      <w:sz w:val="19"/>
      <w:szCs w:val="19"/>
    </w:rPr>
  </w:style>
  <w:style w:type="paragraph" w:styleId="Textkrper-Einzug2">
    <w:name w:val="Body Text Indent 2"/>
    <w:basedOn w:val="Standard"/>
    <w:pPr>
      <w:spacing w:after="120" w:line="480" w:lineRule="auto"/>
      <w:ind w:left="283"/>
    </w:pPr>
  </w:style>
  <w:style w:type="paragraph" w:styleId="Fuzeile">
    <w:name w:val="footer"/>
    <w:basedOn w:val="Standard"/>
    <w:pPr>
      <w:tabs>
        <w:tab w:val="center" w:pos="4536"/>
        <w:tab w:val="right" w:pos="9072"/>
      </w:tabs>
    </w:pPr>
    <w:rPr>
      <w:rFonts w:ascii="Arial" w:hAnsi="Arial" w:cs="Arial"/>
    </w:rPr>
  </w:style>
  <w:style w:type="paragraph" w:styleId="Textkrper-Einzug3">
    <w:name w:val="Body Text Indent 3"/>
    <w:basedOn w:val="Standard"/>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534">
      <w:bodyDiv w:val="1"/>
      <w:marLeft w:val="0"/>
      <w:marRight w:val="0"/>
      <w:marTop w:val="0"/>
      <w:marBottom w:val="0"/>
      <w:divBdr>
        <w:top w:val="none" w:sz="0" w:space="0" w:color="auto"/>
        <w:left w:val="none" w:sz="0" w:space="0" w:color="auto"/>
        <w:bottom w:val="none" w:sz="0" w:space="0" w:color="auto"/>
        <w:right w:val="none" w:sz="0" w:space="0" w:color="auto"/>
      </w:divBdr>
    </w:div>
    <w:div w:id="19281778">
      <w:bodyDiv w:val="1"/>
      <w:marLeft w:val="0"/>
      <w:marRight w:val="0"/>
      <w:marTop w:val="0"/>
      <w:marBottom w:val="0"/>
      <w:divBdr>
        <w:top w:val="none" w:sz="0" w:space="0" w:color="auto"/>
        <w:left w:val="none" w:sz="0" w:space="0" w:color="auto"/>
        <w:bottom w:val="none" w:sz="0" w:space="0" w:color="auto"/>
        <w:right w:val="none" w:sz="0" w:space="0" w:color="auto"/>
      </w:divBdr>
    </w:div>
    <w:div w:id="424234452">
      <w:bodyDiv w:val="1"/>
      <w:marLeft w:val="0"/>
      <w:marRight w:val="0"/>
      <w:marTop w:val="0"/>
      <w:marBottom w:val="0"/>
      <w:divBdr>
        <w:top w:val="none" w:sz="0" w:space="0" w:color="auto"/>
        <w:left w:val="none" w:sz="0" w:space="0" w:color="auto"/>
        <w:bottom w:val="none" w:sz="0" w:space="0" w:color="auto"/>
        <w:right w:val="none" w:sz="0" w:space="0" w:color="auto"/>
      </w:divBdr>
      <w:divsChild>
        <w:div w:id="1987007077">
          <w:marLeft w:val="0"/>
          <w:marRight w:val="0"/>
          <w:marTop w:val="0"/>
          <w:marBottom w:val="0"/>
          <w:divBdr>
            <w:top w:val="none" w:sz="0" w:space="0" w:color="auto"/>
            <w:left w:val="none" w:sz="0" w:space="0" w:color="auto"/>
            <w:bottom w:val="none" w:sz="0" w:space="0" w:color="auto"/>
            <w:right w:val="none" w:sz="0" w:space="0" w:color="auto"/>
          </w:divBdr>
        </w:div>
        <w:div w:id="2082630733">
          <w:marLeft w:val="0"/>
          <w:marRight w:val="0"/>
          <w:marTop w:val="0"/>
          <w:marBottom w:val="0"/>
          <w:divBdr>
            <w:top w:val="none" w:sz="0" w:space="0" w:color="auto"/>
            <w:left w:val="none" w:sz="0" w:space="0" w:color="auto"/>
            <w:bottom w:val="none" w:sz="0" w:space="0" w:color="auto"/>
            <w:right w:val="none" w:sz="0" w:space="0" w:color="auto"/>
          </w:divBdr>
          <w:divsChild>
            <w:div w:id="494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0801">
      <w:bodyDiv w:val="1"/>
      <w:marLeft w:val="0"/>
      <w:marRight w:val="0"/>
      <w:marTop w:val="0"/>
      <w:marBottom w:val="0"/>
      <w:divBdr>
        <w:top w:val="none" w:sz="0" w:space="0" w:color="auto"/>
        <w:left w:val="none" w:sz="0" w:space="0" w:color="auto"/>
        <w:bottom w:val="none" w:sz="0" w:space="0" w:color="auto"/>
        <w:right w:val="none" w:sz="0" w:space="0" w:color="auto"/>
      </w:divBdr>
    </w:div>
    <w:div w:id="486242351">
      <w:bodyDiv w:val="1"/>
      <w:marLeft w:val="0"/>
      <w:marRight w:val="0"/>
      <w:marTop w:val="0"/>
      <w:marBottom w:val="0"/>
      <w:divBdr>
        <w:top w:val="none" w:sz="0" w:space="0" w:color="auto"/>
        <w:left w:val="none" w:sz="0" w:space="0" w:color="auto"/>
        <w:bottom w:val="none" w:sz="0" w:space="0" w:color="auto"/>
        <w:right w:val="none" w:sz="0" w:space="0" w:color="auto"/>
      </w:divBdr>
    </w:div>
    <w:div w:id="597755968">
      <w:bodyDiv w:val="1"/>
      <w:marLeft w:val="0"/>
      <w:marRight w:val="0"/>
      <w:marTop w:val="0"/>
      <w:marBottom w:val="0"/>
      <w:divBdr>
        <w:top w:val="none" w:sz="0" w:space="0" w:color="auto"/>
        <w:left w:val="none" w:sz="0" w:space="0" w:color="auto"/>
        <w:bottom w:val="none" w:sz="0" w:space="0" w:color="auto"/>
        <w:right w:val="none" w:sz="0" w:space="0" w:color="auto"/>
      </w:divBdr>
    </w:div>
    <w:div w:id="675039178">
      <w:bodyDiv w:val="1"/>
      <w:marLeft w:val="0"/>
      <w:marRight w:val="0"/>
      <w:marTop w:val="0"/>
      <w:marBottom w:val="0"/>
      <w:divBdr>
        <w:top w:val="none" w:sz="0" w:space="0" w:color="auto"/>
        <w:left w:val="none" w:sz="0" w:space="0" w:color="auto"/>
        <w:bottom w:val="none" w:sz="0" w:space="0" w:color="auto"/>
        <w:right w:val="none" w:sz="0" w:space="0" w:color="auto"/>
      </w:divBdr>
    </w:div>
    <w:div w:id="714475211">
      <w:bodyDiv w:val="1"/>
      <w:marLeft w:val="0"/>
      <w:marRight w:val="0"/>
      <w:marTop w:val="0"/>
      <w:marBottom w:val="0"/>
      <w:divBdr>
        <w:top w:val="none" w:sz="0" w:space="0" w:color="auto"/>
        <w:left w:val="none" w:sz="0" w:space="0" w:color="auto"/>
        <w:bottom w:val="none" w:sz="0" w:space="0" w:color="auto"/>
        <w:right w:val="none" w:sz="0" w:space="0" w:color="auto"/>
      </w:divBdr>
    </w:div>
    <w:div w:id="1216087395">
      <w:bodyDiv w:val="1"/>
      <w:marLeft w:val="0"/>
      <w:marRight w:val="0"/>
      <w:marTop w:val="0"/>
      <w:marBottom w:val="0"/>
      <w:divBdr>
        <w:top w:val="none" w:sz="0" w:space="0" w:color="auto"/>
        <w:left w:val="none" w:sz="0" w:space="0" w:color="auto"/>
        <w:bottom w:val="none" w:sz="0" w:space="0" w:color="auto"/>
        <w:right w:val="none" w:sz="0" w:space="0" w:color="auto"/>
      </w:divBdr>
    </w:div>
    <w:div w:id="1504125236">
      <w:bodyDiv w:val="1"/>
      <w:marLeft w:val="0"/>
      <w:marRight w:val="0"/>
      <w:marTop w:val="0"/>
      <w:marBottom w:val="0"/>
      <w:divBdr>
        <w:top w:val="none" w:sz="0" w:space="0" w:color="auto"/>
        <w:left w:val="none" w:sz="0" w:space="0" w:color="auto"/>
        <w:bottom w:val="none" w:sz="0" w:space="0" w:color="auto"/>
        <w:right w:val="none" w:sz="0" w:space="0" w:color="auto"/>
      </w:divBdr>
    </w:div>
    <w:div w:id="15250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12365-2656-4859-829E-C2C400C0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2134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Abteilung Finanzen, Personal, Wirtschaft und Bürgerdienste</vt:lpstr>
    </vt:vector>
  </TitlesOfParts>
  <Company>BA Schöneberg von Berlin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Finanzen, Personal, Wirtschaft und Bürgerdienste</dc:title>
  <dc:creator>BA Schöneberg von Berlin</dc:creator>
  <cp:lastModifiedBy>Markus, Natascha</cp:lastModifiedBy>
  <cp:revision>2</cp:revision>
  <cp:lastPrinted>2017-11-23T11:39:00Z</cp:lastPrinted>
  <dcterms:created xsi:type="dcterms:W3CDTF">2020-06-15T11:13:00Z</dcterms:created>
  <dcterms:modified xsi:type="dcterms:W3CDTF">2020-06-15T11:13:00Z</dcterms:modified>
</cp:coreProperties>
</file>