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pPr>
      <w:r>
        <w:rPr>
          <w:noProof/>
          <w:lang w:eastAsia="de-DE"/>
        </w:rPr>
        <mc:AlternateContent>
          <mc:Choice Requires="wps">
            <w:drawing>
              <wp:anchor distT="45720" distB="45720" distL="114300" distR="114300" simplePos="0" relativeHeight="251659264" behindDoc="0" locked="0" layoutInCell="1" allowOverlap="1">
                <wp:simplePos x="0" y="0"/>
                <wp:positionH relativeFrom="column">
                  <wp:posOffset>-116094</wp:posOffset>
                </wp:positionH>
                <wp:positionV relativeFrom="paragraph">
                  <wp:posOffset>6985</wp:posOffset>
                </wp:positionV>
                <wp:extent cx="842400" cy="619200"/>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400" cy="619200"/>
                        </a:xfrm>
                        <a:prstGeom prst="rect">
                          <a:avLst/>
                        </a:prstGeom>
                        <a:solidFill>
                          <a:srgbClr val="FFFFFF"/>
                        </a:solidFill>
                        <a:ln w="9525">
                          <a:noFill/>
                          <a:miter lim="800000"/>
                          <a:headEnd/>
                          <a:tailEnd/>
                        </a:ln>
                      </wps:spPr>
                      <wps:txbx>
                        <w:txbxContent>
                          <w:p>
                            <w:pPr>
                              <w:rPr>
                                <w:rStyle w:val="Fett"/>
                              </w:rPr>
                            </w:pP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15pt;margin-top:.55pt;width:66.3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" stroked="f">
                <v:textbox>
                  <w:txbxContent>
                    <w:p>
                      <w:pPr>
                        <w:rPr>
                          <w:rStyle w:val="Fett"/>
                        </w:rPr>
                      </w:pPr>
                    </w:p>
                    <w:p/>
                  </w:txbxContent>
                </v:textbox>
                <w10:wrap type="square"/>
              </v:shape>
            </w:pict>
          </mc:Fallback>
        </mc:AlternateContent>
      </w:r>
      <w:r>
        <w:rPr>
          <w:noProof/>
          <w:lang w:eastAsia="de-DE"/>
        </w:rPr>
        <w:drawing>
          <wp:inline distT="0" distB="0" distL="0" distR="0">
            <wp:extent cx="2602800" cy="374400"/>
            <wp:effectExtent l="0" t="0" r="0" b="6985"/>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inline>
        </w:drawing>
      </w:r>
    </w:p>
    <w:p>
      <w:pPr>
        <w:tabs>
          <w:tab w:val="right" w:pos="8675"/>
        </w:tabs>
      </w:pPr>
      <w:r>
        <w:t>Abteilung Stadtentwicklung und Bauen</w:t>
      </w:r>
      <w:r>
        <w:tab/>
        <w:t>08.06.2020</w:t>
      </w:r>
      <w:r>
        <w:br/>
        <w:t>OE / SE Stadtentwicklungsamt</w:t>
      </w:r>
      <w:r>
        <w:tab/>
        <w:t>Telefon: 7819</w:t>
      </w:r>
    </w:p>
    <w:p>
      <w:pPr>
        <w:pStyle w:val="Titel"/>
      </w:pPr>
      <w:r>
        <w:t>Bezirksamtsvorlage zur Beschlussfassung</w:t>
      </w:r>
    </w:p>
    <w:p>
      <w:r>
        <w:t>für die Sitzung des Bezirksamtes am Dienstag, 16. Juni 2020</w:t>
      </w:r>
    </w:p>
    <w:p>
      <w:pPr>
        <w:pStyle w:val="berschrift1"/>
      </w:pPr>
      <w:r>
        <w:t>Gegenstand der Vorlage</w:t>
      </w:r>
    </w:p>
    <w:p>
      <w:pPr>
        <w:rPr>
          <w:lang w:eastAsia="de-DE"/>
        </w:rPr>
      </w:pPr>
      <w:r>
        <w:t xml:space="preserve">Zügige naturnahe Entwicklung des Geländes der ehem. Bezirksgärtnerei am Diedersdorfer Weg in Marienfelde </w:t>
      </w:r>
      <w:r>
        <w:rPr>
          <w:lang w:eastAsia="de-DE"/>
        </w:rPr>
        <w:br/>
        <w:t>Beschluss der BVV vom 21.08.2019</w:t>
      </w:r>
      <w:r>
        <w:rPr>
          <w:lang w:eastAsia="de-DE"/>
        </w:rPr>
        <w:br/>
        <w:t xml:space="preserve">Drucksache Nr. </w:t>
      </w:r>
      <w:r>
        <w:t>1325/XX</w:t>
      </w:r>
    </w:p>
    <w:p>
      <w:pPr>
        <w:pStyle w:val="berschrift1"/>
      </w:pPr>
      <w:r>
        <w:t>Berichterstatter</w:t>
      </w:r>
    </w:p>
    <w:p>
      <w:pPr>
        <w:rPr>
          <w:lang w:eastAsia="de-DE"/>
        </w:rPr>
      </w:pPr>
      <w:r>
        <w:t>Bezirksstadtrat Jörn Oltmann</w:t>
      </w:r>
    </w:p>
    <w:p>
      <w:pPr>
        <w:pStyle w:val="berschrift1"/>
      </w:pPr>
      <w:r>
        <w:t>Beschluss</w:t>
      </w:r>
    </w:p>
    <w:p>
      <w:pPr>
        <w:tabs>
          <w:tab w:val="left" w:pos="6900"/>
        </w:tabs>
        <w:rPr>
          <w:lang w:eastAsia="de-DE"/>
        </w:rPr>
      </w:pPr>
      <w:r>
        <w:rPr>
          <w:lang w:eastAsia="de-DE"/>
        </w:rPr>
        <w:t>Das Bezirksamt beschließt, die aus der Anlage ersichtliche Mitteilung - zur Kenntnisnahme</w:t>
      </w:r>
      <w:r>
        <w:t xml:space="preserve"> </w:t>
      </w:r>
      <w:r>
        <w:rPr>
          <w:lang w:eastAsia="de-DE"/>
        </w:rPr>
        <w:t>-</w:t>
      </w:r>
      <w:r>
        <w:t xml:space="preserve"> an die Bezirksverordnetenversammlung weiterzuleiten.</w:t>
      </w:r>
    </w:p>
    <w:p>
      <w:pPr>
        <w:pStyle w:val="berschrift1"/>
      </w:pPr>
      <w:r>
        <w:t>Begründung</w:t>
      </w:r>
    </w:p>
    <w:p>
      <w:pPr>
        <w:rPr>
          <w:lang w:eastAsia="de-DE"/>
        </w:rPr>
      </w:pPr>
      <w:r>
        <w:rPr>
          <w:lang w:eastAsia="de-DE"/>
        </w:rPr>
        <w:t>Ist der Anlage zu entnehmen</w:t>
      </w:r>
    </w:p>
    <w:p>
      <w:pPr>
        <w:pStyle w:val="berschrift1"/>
      </w:pPr>
      <w:r>
        <w:t>Rechtsgrundlage</w:t>
      </w:r>
    </w:p>
    <w:p>
      <w:pPr>
        <w:rPr>
          <w:lang w:eastAsia="de-DE"/>
        </w:rPr>
      </w:pPr>
      <w:r>
        <w:rPr>
          <w:lang w:eastAsia="de-DE"/>
        </w:rPr>
        <w:t>§36 (2) BezVG</w:t>
      </w:r>
    </w:p>
    <w:p>
      <w:pPr>
        <w:pStyle w:val="berschrift1"/>
      </w:pPr>
      <w:r>
        <w:t>Auswirkungen auf die Gleichstellung der Geschlechter</w:t>
      </w:r>
    </w:p>
    <w:p>
      <w:pPr>
        <w:rPr>
          <w:lang w:eastAsia="de-DE"/>
        </w:rPr>
      </w:pPr>
      <w:r>
        <w:rPr>
          <w:lang w:eastAsia="de-DE"/>
        </w:rPr>
        <w:t>Keine</w:t>
      </w:r>
    </w:p>
    <w:p>
      <w:pPr>
        <w:pStyle w:val="berschrift1"/>
      </w:pPr>
      <w:r>
        <w:t>Haushaltsmäßige / Personalwirtschaftliche Auswirkungen</w:t>
      </w:r>
    </w:p>
    <w:p>
      <w:r>
        <w:rPr>
          <w:lang w:eastAsia="de-DE"/>
        </w:rPr>
        <w:t>Keine</w:t>
      </w:r>
    </w:p>
    <w:p/>
    <w:p/>
    <w:p>
      <w:pPr>
        <w:rPr>
          <w:lang w:eastAsia="de-DE"/>
        </w:rPr>
      </w:pPr>
    </w:p>
    <w:p>
      <w:pPr>
        <w:pStyle w:val="berschrift1"/>
      </w:pPr>
      <w:r>
        <w:t>Nachhaltigkeit</w:t>
      </w:r>
    </w:p>
    <w:p>
      <w:pPr>
        <w:rPr>
          <w:lang w:eastAsia="de-DE"/>
        </w:rPr>
      </w:pPr>
      <w:r>
        <w:rPr>
          <w:lang w:eastAsia="de-DE"/>
        </w:rPr>
        <w:t>(siehe Anlage)</w:t>
      </w:r>
    </w:p>
    <w:p>
      <w:pPr>
        <w:pStyle w:val="berschrift1"/>
      </w:pPr>
      <w:r>
        <w:t>Unterrichtung BVV</w:t>
      </w:r>
    </w:p>
    <w:p>
      <w:pPr>
        <w:rPr>
          <w:lang w:eastAsia="de-DE"/>
        </w:rPr>
      </w:pPr>
      <w:r>
        <w:rPr>
          <w:lang w:eastAsia="de-DE"/>
        </w:rPr>
        <w:t xml:space="preserve">Ja, als Mitteilung zur Kenntnisnahme </w:t>
      </w:r>
    </w:p>
    <w:p>
      <w:pPr>
        <w:pStyle w:val="berschrift1"/>
      </w:pPr>
      <w:r>
        <w:t>Mitzeichnung</w:t>
      </w:r>
    </w:p>
    <w:p>
      <w:pPr>
        <w:rPr>
          <w:lang w:eastAsia="de-DE"/>
        </w:rPr>
      </w:pPr>
      <w:r>
        <w:rPr>
          <w:lang w:eastAsia="de-DE"/>
        </w:rPr>
        <w:t>Keine</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r>
      <w:r>
        <w:t>Oltmann</w:t>
      </w:r>
      <w:r>
        <w:rPr>
          <w:lang w:eastAsia="de-DE"/>
        </w:rPr>
        <w:t xml:space="preserve"> </w:t>
      </w:r>
      <w:r>
        <w:rPr>
          <w:lang w:eastAsia="de-DE"/>
        </w:rPr>
        <w:br/>
        <w:t xml:space="preserve">Bezirksstadtrat </w:t>
      </w:r>
    </w:p>
    <w:p>
      <w:pPr>
        <w:pStyle w:val="Unterschrift"/>
        <w:tabs>
          <w:tab w:val="left" w:pos="5103"/>
        </w:tabs>
        <w:rPr>
          <w:lang w:eastAsia="de-DE"/>
        </w:rPr>
      </w:pPr>
      <w:r>
        <w:rPr>
          <w:lang w:eastAsia="de-DE"/>
        </w:rPr>
        <w:br w:type="textWrapping" w:clear="all"/>
      </w:r>
    </w:p>
    <w:p>
      <w:pPr>
        <w:pStyle w:val="berschrift2"/>
      </w:pPr>
      <w:r>
        <w:rPr>
          <w:lang w:eastAsia="de-DE"/>
        </w:rPr>
        <w:t>Anlagen</w:t>
      </w:r>
    </w:p>
    <w:p>
      <w:pPr>
        <w:rPr>
          <w:lang w:val="en-US" w:eastAsia="de-DE"/>
        </w:rPr>
      </w:pPr>
      <w:r>
        <w:t>Nachhaltigkeitskriterien</w:t>
      </w:r>
    </w:p>
    <w:p>
      <w:pPr>
        <w:rPr>
          <w:lang w:eastAsia="de-DE"/>
        </w:rPr>
      </w:pPr>
      <w:r>
        <w:rPr>
          <w:lang w:eastAsia="de-DE"/>
        </w:rPr>
        <w:t xml:space="preserve">Mitteilung zur Kenntnisnahme, Drucksache </w:t>
      </w:r>
      <w:r>
        <w:t>1325</w:t>
      </w:r>
      <w:r>
        <w:rPr>
          <w:lang w:eastAsia="de-DE"/>
        </w:rPr>
        <w:t>/XX</w:t>
      </w:r>
    </w:p>
    <w:p>
      <w:pPr>
        <w:rPr>
          <w:lang w:eastAsia="de-DE"/>
        </w:rPr>
        <w:sectPr>
          <w:type w:val="continuous"/>
          <w:pgSz w:w="11906" w:h="16838"/>
          <w:pgMar w:top="1418" w:right="1134" w:bottom="567" w:left="1985" w:header="573" w:footer="567" w:gutter="0"/>
          <w:cols w:space="708"/>
          <w:titlePg/>
          <w:docGrid w:linePitch="360"/>
        </w:sectPr>
      </w:pPr>
    </w:p>
    <w:p>
      <w:pPr>
        <w:pStyle w:val="berschrift1"/>
      </w:pPr>
      <w:r>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t>Drucksachen der Bezirksverordnetenversammlung Tempelhof-Schöneberg von Berlin</w:t>
      </w:r>
    </w:p>
    <w:p>
      <w:pPr>
        <w:pStyle w:val="Textkrper"/>
        <w:rPr>
          <w:lang w:eastAsia="de-DE"/>
        </w:rPr>
      </w:pPr>
      <w:r>
        <w:rPr>
          <w:lang w:eastAsia="de-DE"/>
        </w:rPr>
        <w:t>- XX. Wahlperiode –</w:t>
      </w:r>
    </w:p>
    <w:p>
      <w:pPr>
        <w:pStyle w:val="Standardeinzug"/>
        <w:rPr>
          <w:rStyle w:val="Fett"/>
          <w:b w:val="0"/>
          <w:bCs w:val="0"/>
        </w:rPr>
      </w:pPr>
      <w:r>
        <w:t>Drucksache Nr.</w:t>
      </w:r>
      <w:r>
        <w:tab/>
      </w:r>
      <w:r>
        <w:rPr>
          <w:rStyle w:val="Fett"/>
        </w:rPr>
        <w:t>1325</w:t>
      </w:r>
      <w:r>
        <w:t>/XX</w:t>
      </w:r>
    </w:p>
    <w:p>
      <w:pPr>
        <w:pStyle w:val="Textkrper2"/>
      </w:pPr>
      <w:r>
        <w:rPr>
          <w:rStyle w:val="Hervorhebung"/>
        </w:rPr>
        <w:t xml:space="preserve">Mitteilung zur </w:t>
      </w:r>
      <w:r>
        <w:rPr>
          <w:rStyle w:val="Hervorhebung"/>
          <w:lang w:eastAsia="de-DE"/>
        </w:rPr>
        <w:t>Kenntnisnahme</w:t>
      </w:r>
      <w:r>
        <w:rPr>
          <w:rStyle w:val="Hervorhebung"/>
        </w:rPr>
        <w:br/>
      </w:r>
      <w:r>
        <w:t xml:space="preserve">des Bezirksamtes Tempelhof-Schöneberg von Berlin </w:t>
      </w:r>
      <w:r>
        <w:br/>
        <w:t>über den Beschluss der BVV vom 21.08.2019, Drucksache Nr. 1325/XX</w:t>
      </w:r>
    </w:p>
    <w:p>
      <w:pPr>
        <w:pStyle w:val="Textkrper2"/>
        <w:rPr>
          <w:rStyle w:val="Fett"/>
        </w:rPr>
      </w:pPr>
      <w:r>
        <w:rPr>
          <w:rStyle w:val="Fett"/>
        </w:rPr>
        <w:t xml:space="preserve">Die BVV fasste auf ihrer Sitzung am 21.08.2019 folgenden Beschluss: </w:t>
      </w:r>
    </w:p>
    <w:p>
      <w:pPr>
        <w:pStyle w:val="Textkrper2"/>
      </w:pPr>
      <w:r>
        <w:t>Die Bezirksverordnetenversammlung möge beschließen:</w:t>
      </w:r>
    </w:p>
    <w:p>
      <w:r>
        <w:t> „Das Bezirksamt wird ersucht, sich dafür einzusetzen, das Gelände der ehemaligen Bezirksgärtnerei am Diedersdorfer Weg in Marienfelde naturnah zu entwickeln, um einen gemeinsamen Grünraum zu erschaffen. Zwischennutzungen - mit Ausnahme von kleinen Teilflächen durch die benachbarte Naturschutzstation - dürfen bis zum Beginn der Umsetzung der Maßnahme nicht erfolgen.</w:t>
      </w:r>
    </w:p>
    <w:p>
      <w:r>
        <w:t>Das Bezirksamt wird ersucht, Ausgleichs- und Ersatzmaßnahmen - sofern sie nicht auf eigenen Grundstücken der Bauherren stattfinden können - zuallererst auf diesem Grundstück am Diedersdorfer Weg zu realisieren.“</w:t>
      </w:r>
    </w:p>
    <w:p>
      <w:pPr>
        <w:rPr>
          <w:rStyle w:val="Fett"/>
        </w:rPr>
      </w:pPr>
      <w:r>
        <w:rPr>
          <w:rStyle w:val="Fett"/>
        </w:rPr>
        <w:t>Das Bezirksamt teilt hierzu mit der Bitte um Kenntnisnahme mit:</w:t>
      </w:r>
    </w:p>
    <w:p>
      <w:r>
        <w:t>Mit Beschluss vom 23.10.2018 hat das Bezirksamt die Aufstellung des Bebauungsplans 7-96 gefasst und dies der BVV mit Drucksache Nr. 0911/XX zu Kenntnis gegeben.</w:t>
      </w:r>
    </w:p>
    <w:p>
      <w:r>
        <w:t>Ziel dieses Bebauungsplans ist es dieses Grundstück wieder als funktionalen Bestandteil der Marienfelder Feldmark zu qualifizieren und erlebbar zu machen sowie Teilflächen der Naturschutzstation und ggf. geeigneten Trägern für umweltpädagogische Zwecke zur Verfügung zu stellen.</w:t>
      </w:r>
    </w:p>
    <w:p>
      <w:r>
        <w:t xml:space="preserve">Die Fläche birgt großes Potential für Ausgleichs- und Ersatzmaßnahmen, jedoch ist ein gewisser Anteil davon bebaut und versiegelt mit Strukturen der ehem. Bezirksgärtnerei. </w:t>
      </w:r>
    </w:p>
    <w:p>
      <w:r>
        <w:t>Damit soll die planungsrechtliche Voraussetzung für die Umsetzung von Ausgleichs- und Ersatzmaßnahmen auf dem Grundstück der ehem. Bezirksgärtnerei im Sinne des BVV-Beschlusses Drucksache Nr. 1325/XX geschaffen werden.</w:t>
      </w:r>
    </w:p>
    <w:p>
      <w:r>
        <w:t>Die Ausweisung der Fläche für bezirkliche Ausgleichs- und Ersatzmaßnahmen setzt die Übertragung des Grundstücks in das Bezirksvermögen voraus. Derzeit befindet sich die Fläche im Fachvermögen der BIM. Eine Kooperation zwischen Bezirk und BIM ist abgesprochen und wird anhand des vorliegenden städtebaulichen Realisierungskonzepts (siehe Anlage) vorangetrieben.</w:t>
      </w:r>
    </w:p>
    <w:p>
      <w:r>
        <w:t xml:space="preserve">Eine Rechnung des Umwelt- und Naturschutzamts (UmNat) ergab hierzu, dass die Fläche inkl. Abriss rund 1.900 Wertpunkte für die Abiotik und Biotik sowie 900 Wertpunkte für das Landschaftsbild und die Erholung generieren könnte (ohne Abriss 1.400 Wertpunkte für Abiotik und Biotik sowie 750 für das Landschaftsbild). </w:t>
      </w:r>
    </w:p>
    <w:p>
      <w:r>
        <w:t>Aufgrund der Gebäudestruktur wäre hierzu eine umfängliche Abrissmaßnahme durchzuführen. Zur weiteren Vorbereitung ist es erforderlich, Abrisskosten und –risiken vorab durch einen Fachgutachter zu ermitteln. Auf Grundlage der Ergebnisse kann dann geprüft werden, ob die Abrissmaßnahmen durch das Bezirksamt selbst durchgeführt werden können.</w:t>
      </w:r>
    </w:p>
    <w:p>
      <w:r>
        <w:t>Geprüft wurde auch eine mögliche Finanzierung der Abrissmaßnahmen im Rahmen des Berliner Energie- und Klimaschutzprogramms (BEK). Diesbezüglich erfolgten mehrere Abstimmungen mit der SenUVK. Eine endgültige Aussage liegt bisher noch nicht vor. Auch diesbezüglich sollte zeitnah eine verlässliche Abschätzung der Abrisskosten erfolgen.</w:t>
      </w:r>
    </w:p>
    <w:p>
      <w:r>
        <w:t>Damit eignet sich die Fläche der ehem. Bezirksgärtnerei für zukünftige A+E-Maßnahmen aus dem Bebauungsplan 7-92 „Lichterfelder Ring“, da das dortige Wohnungsbauvorhaben der degewo laut ermittelter Eingriffsbilanzierung (Leitfaden zur Bewertung und Bilanzierung von Eingriffen, SenUVK 2017) ein Defizit von 600 Wertpunkten für Abiotik und Biotik sowie 10 für das Landschaftsbild und Erholung aufweist. Die Maßnahmen sollen entsprechend im Umweltbericht des B-Plans 7-96 (Diedersdorfer Weg / ehem. Bezirksgärtnerei) umgesetzt werden.</w:t>
      </w:r>
    </w:p>
    <w:p>
      <w:r>
        <w:t>Nach dieser Berechnung kann somit das aufkommende Wertepunktdefizit des Wohnungsbauvorhabens des Lichterfelder Rings mit dem Wertepunktbudget der geplanten A+E Flächen der ehem. Bezirksgärtnerei, Diedersdorfer Weg vollständig ausgeglichen werden.</w:t>
      </w:r>
    </w:p>
    <w:p>
      <w:r>
        <w:t>Ein entsprechendes Konzept wird das UmNat kurzfristig zuarbeiten.</w:t>
      </w:r>
    </w:p>
    <w:p>
      <w:r>
        <w:t>In oben gezeigten Verrechnung werden jedoch nicht alle Wertpunkte des B-Plans 7-96 genutzt. Somit verbleibt ein gewisser Betrag an ungenutzten Wertpunkten, die für zukünftige Projekte im Bezirk verwendet werden könnten.</w:t>
      </w:r>
    </w:p>
    <w:p>
      <w:pPr>
        <w:pStyle w:val="Textkrper2"/>
      </w:pPr>
      <w:r>
        <w:t>Berlin Tempelhof-Schöneberg, den 16.06.2020</w:t>
      </w:r>
    </w:p>
    <w:p>
      <w:pPr>
        <w:pStyle w:val="Unterschrift"/>
      </w:pPr>
      <w:r>
        <w:t xml:space="preserve">Angelika Schöttler </w:t>
      </w:r>
      <w:r>
        <w:tab/>
      </w:r>
      <w:r>
        <w:tab/>
      </w:r>
      <w:r>
        <w:tab/>
      </w:r>
      <w:r>
        <w:tab/>
      </w:r>
      <w:r>
        <w:tab/>
      </w:r>
      <w:r>
        <w:tab/>
        <w:t xml:space="preserve">Oltmann </w:t>
      </w:r>
    </w:p>
    <w:p>
      <w:pPr>
        <w:pStyle w:val="Unterschrift"/>
      </w:pPr>
      <w:r>
        <w:t xml:space="preserve">Bezirksbürgermeisterin </w:t>
      </w:r>
      <w:r>
        <w:tab/>
      </w:r>
      <w:r>
        <w:tab/>
      </w:r>
      <w:r>
        <w:tab/>
      </w:r>
      <w:r>
        <w:tab/>
      </w:r>
      <w:r>
        <w:tab/>
        <w:t>Bezirksstadtrat</w:t>
      </w:r>
    </w:p>
    <w:p>
      <w:r>
        <w:t xml:space="preserve"> </w:t>
      </w:r>
    </w:p>
    <w:p/>
    <w:p/>
    <w:p>
      <w:r>
        <w:t xml:space="preserve"> </w:t>
      </w:r>
      <w:r>
        <w:tab/>
      </w:r>
      <w:r>
        <w:tab/>
      </w:r>
      <w:r>
        <w:tab/>
      </w:r>
      <w:r>
        <w:tab/>
      </w:r>
      <w:r>
        <w:tab/>
      </w:r>
      <w:r>
        <w:tab/>
      </w:r>
      <w:r>
        <w:tab/>
      </w:r>
      <w:r>
        <w:tab/>
      </w:r>
      <w:r>
        <w:tab/>
      </w:r>
      <w:r>
        <w:tab/>
      </w:r>
      <w:r>
        <w:tab/>
        <w:t xml:space="preserve"> </w:t>
      </w:r>
    </w:p>
    <w:p>
      <w:r>
        <w:t xml:space="preserve"> </w:t>
      </w: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2</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B35B38-9929-4648-B79F-BEFD222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NurText">
    <w:name w:val="Plain Text"/>
    <w:basedOn w:val="Standard"/>
    <w:link w:val="NurTextZchn"/>
    <w:uiPriority w:val="99"/>
    <w:unhideWhenUsed/>
    <w:pPr>
      <w:spacing w:after="0" w:line="240" w:lineRule="auto"/>
    </w:pPr>
    <w:rPr>
      <w:rFonts w:ascii="Calibri" w:eastAsiaTheme="minorHAnsi" w:hAnsi="Calibri" w:cstheme="minorBidi"/>
      <w:sz w:val="22"/>
      <w:szCs w:val="21"/>
    </w:rPr>
  </w:style>
  <w:style w:type="character" w:customStyle="1" w:styleId="NurTextZchn">
    <w:name w:val="Nur Text Zchn"/>
    <w:basedOn w:val="Absatz-Standardschriftart"/>
    <w:link w:val="NurText"/>
    <w:uiPriority w:val="99"/>
    <w:rPr>
      <w:rFonts w:ascii="Calibri" w:hAnsi="Calibri"/>
      <w:szCs w:val="2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Word2016\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B28D8-A820-44E0-819C-17B93D6F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1</Pages>
  <Words>847</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Kantowski, Vasco</dc:creator>
  <cp:keywords>Bezirksamtsvorlage, Beschlussfassung</cp:keywords>
  <dc:description/>
  <cp:lastModifiedBy>Klotz, Uwe</cp:lastModifiedBy>
  <cp:revision>2</cp:revision>
  <cp:lastPrinted>2020-06-04T09:44:00Z</cp:lastPrinted>
  <dcterms:created xsi:type="dcterms:W3CDTF">2020-06-04T12:41:00Z</dcterms:created>
  <dcterms:modified xsi:type="dcterms:W3CDTF">2020-06-04T12:41:00Z</dcterms:modified>
</cp:coreProperties>
</file>