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C5" w:rsidRDefault="00FF40C5" w:rsidP="00A52FB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de-DE"/>
        </w:rPr>
        <w:drawing>
          <wp:inline distT="0" distB="0" distL="0" distR="0">
            <wp:extent cx="2386396" cy="676275"/>
            <wp:effectExtent l="19050" t="0" r="0" b="0"/>
            <wp:docPr id="1" name="Bild 1" descr="D:\Dokumente\AG Vordrucke\Logo Bär\logo-mitte-mit-bä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e\AG Vordrucke\Logo Bär\logo-mitte-mit-bä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96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FB7" w:rsidRDefault="00A52FB7" w:rsidP="00A52FB7">
      <w:pPr>
        <w:jc w:val="center"/>
        <w:rPr>
          <w:rFonts w:ascii="Tahoma" w:hAnsi="Tahoma" w:cs="Tahoma"/>
          <w:b/>
          <w:sz w:val="24"/>
          <w:szCs w:val="24"/>
        </w:rPr>
      </w:pPr>
    </w:p>
    <w:p w:rsidR="00A52FB7" w:rsidRDefault="00EA098B" w:rsidP="00A52FB7">
      <w:pPr>
        <w:jc w:val="center"/>
        <w:rPr>
          <w:rFonts w:ascii="Tahoma" w:hAnsi="Tahoma" w:cs="Tahoma"/>
          <w:b/>
          <w:sz w:val="24"/>
          <w:szCs w:val="24"/>
        </w:rPr>
      </w:pPr>
      <w:r w:rsidRPr="00EA098B">
        <w:rPr>
          <w:rFonts w:ascii="Tahoma" w:hAnsi="Tahoma" w:cs="Tahoma"/>
          <w:b/>
          <w:sz w:val="24"/>
          <w:szCs w:val="24"/>
        </w:rPr>
        <w:t xml:space="preserve">Jahresbericht </w:t>
      </w:r>
      <w:r>
        <w:rPr>
          <w:rFonts w:ascii="Tahoma" w:hAnsi="Tahoma" w:cs="Tahoma"/>
          <w:b/>
          <w:sz w:val="24"/>
          <w:szCs w:val="24"/>
        </w:rPr>
        <w:t>2021 der Arbeitsgruppe Wohnen</w:t>
      </w:r>
    </w:p>
    <w:p w:rsidR="00EA098B" w:rsidRDefault="00EA098B" w:rsidP="00EA098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Die Arbeitsgruppe tagte trotz der </w:t>
      </w:r>
      <w:r w:rsidR="00376829">
        <w:rPr>
          <w:rFonts w:ascii="Tahoma" w:hAnsi="Tahoma" w:cs="Tahoma"/>
          <w:sz w:val="24"/>
          <w:szCs w:val="24"/>
        </w:rPr>
        <w:t xml:space="preserve">Corona </w:t>
      </w:r>
      <w:r>
        <w:rPr>
          <w:rFonts w:ascii="Tahoma" w:hAnsi="Tahoma" w:cs="Tahoma"/>
          <w:sz w:val="24"/>
          <w:szCs w:val="24"/>
        </w:rPr>
        <w:t>bedingten Einschränkungen fast regelmäßig. Ermöglicht wurde es durch die</w:t>
      </w:r>
      <w:r w:rsidR="006718AB">
        <w:rPr>
          <w:rFonts w:ascii="Tahoma" w:hAnsi="Tahoma" w:cs="Tahoma"/>
          <w:sz w:val="24"/>
          <w:szCs w:val="24"/>
        </w:rPr>
        <w:t xml:space="preserve"> Unterstützung durch die</w:t>
      </w:r>
      <w:r>
        <w:rPr>
          <w:rFonts w:ascii="Tahoma" w:hAnsi="Tahoma" w:cs="Tahoma"/>
          <w:sz w:val="24"/>
          <w:szCs w:val="24"/>
        </w:rPr>
        <w:t xml:space="preserve"> Begegnungsstätte </w:t>
      </w:r>
      <w:r w:rsidR="006718AB">
        <w:rPr>
          <w:rFonts w:ascii="Tahoma" w:hAnsi="Tahoma" w:cs="Tahoma"/>
          <w:sz w:val="24"/>
          <w:szCs w:val="24"/>
        </w:rPr>
        <w:t xml:space="preserve">der Volkssolidarität </w:t>
      </w:r>
      <w:r>
        <w:rPr>
          <w:rFonts w:ascii="Tahoma" w:hAnsi="Tahoma" w:cs="Tahoma"/>
          <w:sz w:val="24"/>
          <w:szCs w:val="24"/>
        </w:rPr>
        <w:t>„Mehr Mitte“</w:t>
      </w:r>
      <w:r w:rsidR="00376829">
        <w:rPr>
          <w:rFonts w:ascii="Tahoma" w:hAnsi="Tahoma" w:cs="Tahoma"/>
          <w:sz w:val="24"/>
          <w:szCs w:val="24"/>
        </w:rPr>
        <w:t xml:space="preserve"> und </w:t>
      </w:r>
      <w:r>
        <w:rPr>
          <w:rFonts w:ascii="Tahoma" w:hAnsi="Tahoma" w:cs="Tahoma"/>
          <w:sz w:val="24"/>
          <w:szCs w:val="24"/>
        </w:rPr>
        <w:t>Nutzung des Internets.</w:t>
      </w:r>
    </w:p>
    <w:p w:rsidR="00EA098B" w:rsidRDefault="00EA098B" w:rsidP="00EA098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Erneut spielte das Thema Wohnungstausch</w:t>
      </w:r>
      <w:r w:rsidR="006718AB">
        <w:rPr>
          <w:rFonts w:ascii="Tahoma" w:hAnsi="Tahoma" w:cs="Tahoma"/>
          <w:sz w:val="24"/>
          <w:szCs w:val="24"/>
        </w:rPr>
        <w:t xml:space="preserve"> in 2021</w:t>
      </w:r>
      <w:r>
        <w:rPr>
          <w:rFonts w:ascii="Tahoma" w:hAnsi="Tahoma" w:cs="Tahoma"/>
          <w:sz w:val="24"/>
          <w:szCs w:val="24"/>
        </w:rPr>
        <w:t xml:space="preserve"> eine große Rolle. Die von der AG an die landeseigenen Wohnungsbaugesellschaften</w:t>
      </w:r>
      <w:r w:rsidR="00376829">
        <w:rPr>
          <w:rFonts w:ascii="Tahoma" w:hAnsi="Tahoma" w:cs="Tahoma"/>
          <w:sz w:val="24"/>
          <w:szCs w:val="24"/>
        </w:rPr>
        <w:t xml:space="preserve"> gerichteten Fragen wurden zeitnah beantwortet. Dabei wurde deutlich, dass das Wohnungstauschprogramm nur </w:t>
      </w:r>
      <w:r w:rsidR="006355D7">
        <w:rPr>
          <w:rFonts w:ascii="Tahoma" w:hAnsi="Tahoma" w:cs="Tahoma"/>
          <w:sz w:val="24"/>
          <w:szCs w:val="24"/>
        </w:rPr>
        <w:t>wenig Zuspruch</w:t>
      </w:r>
      <w:r w:rsidR="00376829">
        <w:rPr>
          <w:rFonts w:ascii="Tahoma" w:hAnsi="Tahoma" w:cs="Tahoma"/>
          <w:sz w:val="24"/>
          <w:szCs w:val="24"/>
        </w:rPr>
        <w:t xml:space="preserve"> findet. Vorrangig werden zwar größere Wohnungen gesucht, aber der Anreiz für deren Mieter zum Tausch unter den gegebenen Bedingungen, wie z.B. Aus- und Einzug am gleichen Tag, ist gering.</w:t>
      </w:r>
      <w:r w:rsidR="006355D7">
        <w:rPr>
          <w:rFonts w:ascii="Tahoma" w:hAnsi="Tahoma" w:cs="Tahoma"/>
          <w:sz w:val="24"/>
          <w:szCs w:val="24"/>
        </w:rPr>
        <w:t xml:space="preserve"> Auch die häufig höhe</w:t>
      </w:r>
      <w:r w:rsidR="006718AB">
        <w:rPr>
          <w:rFonts w:ascii="Tahoma" w:hAnsi="Tahoma" w:cs="Tahoma"/>
          <w:sz w:val="24"/>
          <w:szCs w:val="24"/>
        </w:rPr>
        <w:t>re Miete für die kleinere Wohnung</w:t>
      </w:r>
      <w:r w:rsidR="006355D7">
        <w:rPr>
          <w:rFonts w:ascii="Tahoma" w:hAnsi="Tahoma" w:cs="Tahoma"/>
          <w:sz w:val="24"/>
          <w:szCs w:val="24"/>
        </w:rPr>
        <w:t xml:space="preserve"> ist ein Hemmnis.</w:t>
      </w:r>
    </w:p>
    <w:p w:rsidR="00EA098B" w:rsidRDefault="00376829" w:rsidP="00EA098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Mit Mietendeckel und seinem Aus beschäftigte sich die AG ebenfalls. Über unsere Internetseite wurden Informationen für die Mieter</w:t>
      </w:r>
      <w:r w:rsidR="006718AB">
        <w:rPr>
          <w:rFonts w:ascii="Tahoma" w:hAnsi="Tahoma" w:cs="Tahoma"/>
          <w:sz w:val="24"/>
          <w:szCs w:val="24"/>
        </w:rPr>
        <w:t>innen und Mieter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weitergeleitet, wie mit der entsprechenden Situation umzugehen </w:t>
      </w:r>
      <w:r w:rsidR="007F22B0">
        <w:rPr>
          <w:rFonts w:ascii="Tahoma" w:hAnsi="Tahoma" w:cs="Tahoma"/>
          <w:sz w:val="24"/>
          <w:szCs w:val="24"/>
        </w:rPr>
        <w:t>sei</w:t>
      </w:r>
      <w:r>
        <w:rPr>
          <w:rFonts w:ascii="Tahoma" w:hAnsi="Tahoma" w:cs="Tahoma"/>
          <w:sz w:val="24"/>
          <w:szCs w:val="24"/>
        </w:rPr>
        <w:t>.</w:t>
      </w:r>
    </w:p>
    <w:p w:rsidR="007F22B0" w:rsidRDefault="007F22B0" w:rsidP="00EA098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Zu den Wahlprüfsteinen des LSBB bzw. der LSV erarbeitet die Arbeitsgruppe weitere Forderungen, wie z.B. </w:t>
      </w:r>
    </w:p>
    <w:p w:rsidR="007F22B0" w:rsidRDefault="007F22B0" w:rsidP="007F22B0">
      <w:pPr>
        <w:pStyle w:val="Listenabsatz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F22B0">
        <w:rPr>
          <w:rFonts w:ascii="Tahoma" w:hAnsi="Tahoma" w:cs="Tahoma"/>
          <w:sz w:val="24"/>
          <w:szCs w:val="24"/>
        </w:rPr>
        <w:t>mehr Wohnungen mit langer Sozialbindung</w:t>
      </w:r>
      <w:r>
        <w:rPr>
          <w:rFonts w:ascii="Tahoma" w:hAnsi="Tahoma" w:cs="Tahoma"/>
          <w:sz w:val="24"/>
          <w:szCs w:val="24"/>
        </w:rPr>
        <w:t xml:space="preserve"> bei Neubau</w:t>
      </w:r>
    </w:p>
    <w:p w:rsidR="007F22B0" w:rsidRDefault="007F22B0" w:rsidP="007F22B0">
      <w:pPr>
        <w:pStyle w:val="Listenabsatz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mehr behindertengerechte und rollstuhlgerechte Wohnungen bei Neubau</w:t>
      </w:r>
    </w:p>
    <w:p w:rsidR="007F22B0" w:rsidRDefault="007F22B0" w:rsidP="007F22B0">
      <w:pPr>
        <w:pStyle w:val="Listenabsatz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Ablehnung von Eigenbedarfskündigungen bei Menschen über 70 Jahre und/oder 30 Jahre wohnen in der gleichen Wohnung</w:t>
      </w:r>
    </w:p>
    <w:p w:rsidR="007F22B0" w:rsidRDefault="007F22B0" w:rsidP="007F22B0">
      <w:pPr>
        <w:pStyle w:val="Listenabsatz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Wohnungstausch unterstützen für ältere bzw. behinderte Menschen mit praktischen Hilfen</w:t>
      </w:r>
    </w:p>
    <w:p w:rsidR="007F22B0" w:rsidRDefault="007F22B0" w:rsidP="007F22B0">
      <w:pPr>
        <w:pStyle w:val="Listenabsatz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Beauftragte beim Bezirksamt, die über ein Wohnungskontingent für behinderte und alte Menschen verfügen</w:t>
      </w:r>
      <w:r w:rsidR="006355D7">
        <w:rPr>
          <w:rFonts w:ascii="Tahoma" w:hAnsi="Tahoma" w:cs="Tahoma"/>
          <w:sz w:val="24"/>
          <w:szCs w:val="24"/>
        </w:rPr>
        <w:t xml:space="preserve"> z.B. in Seniorenwohnanlagen, speziell auch für Menschen im Rollstuhl.</w:t>
      </w:r>
    </w:p>
    <w:p w:rsidR="006355D7" w:rsidRDefault="006355D7" w:rsidP="006355D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Mit Blick auf das zum Jahresende in Kraft getretene </w:t>
      </w:r>
      <w:r w:rsidR="00394E7A">
        <w:rPr>
          <w:rFonts w:ascii="Tahoma" w:hAnsi="Tahoma" w:cs="Tahoma"/>
          <w:sz w:val="24"/>
          <w:szCs w:val="24"/>
        </w:rPr>
        <w:t>„Wohnteilhabegesetz“</w:t>
      </w:r>
      <w:r>
        <w:rPr>
          <w:rFonts w:ascii="Tahoma" w:hAnsi="Tahoma" w:cs="Tahoma"/>
          <w:sz w:val="24"/>
          <w:szCs w:val="24"/>
        </w:rPr>
        <w:t xml:space="preserve"> </w:t>
      </w:r>
      <w:r w:rsidR="00394E7A">
        <w:rPr>
          <w:rFonts w:ascii="Tahoma" w:hAnsi="Tahoma" w:cs="Tahoma"/>
          <w:sz w:val="24"/>
          <w:szCs w:val="24"/>
        </w:rPr>
        <w:t xml:space="preserve">informierten </w:t>
      </w:r>
      <w:r>
        <w:rPr>
          <w:rFonts w:ascii="Tahoma" w:hAnsi="Tahoma" w:cs="Tahoma"/>
          <w:sz w:val="24"/>
          <w:szCs w:val="24"/>
        </w:rPr>
        <w:t>sich die</w:t>
      </w:r>
      <w:r w:rsidR="00394E7A">
        <w:rPr>
          <w:rFonts w:ascii="Tahoma" w:hAnsi="Tahoma" w:cs="Tahoma"/>
          <w:sz w:val="24"/>
          <w:szCs w:val="24"/>
        </w:rPr>
        <w:t xml:space="preserve"> Mitglieder der Arbeitsgruppe über</w:t>
      </w:r>
      <w:r>
        <w:rPr>
          <w:rFonts w:ascii="Tahoma" w:hAnsi="Tahoma" w:cs="Tahoma"/>
          <w:sz w:val="24"/>
          <w:szCs w:val="24"/>
        </w:rPr>
        <w:t xml:space="preserve"> </w:t>
      </w:r>
      <w:r w:rsidR="00394E7A">
        <w:rPr>
          <w:rFonts w:ascii="Tahoma" w:hAnsi="Tahoma" w:cs="Tahoma"/>
          <w:sz w:val="24"/>
          <w:szCs w:val="24"/>
        </w:rPr>
        <w:t xml:space="preserve">Veränderungen und Neuerungen. In Absprachen mit der Arbeitsgruppe Bewohnerbeiräte wird dieses Thema 2022 gemeinsam behandelt. 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394E7A" w:rsidRDefault="00394E7A" w:rsidP="006355D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Zusammenarbeit mit den AG Öffentlichkeitsarbeit und Bewohnerbeiräte wurden zwei Flyer in Vorbereitung auf die Seniorenvertretungswahlen 2022 erarbeitet.</w:t>
      </w:r>
    </w:p>
    <w:p w:rsidR="00BF6EEC" w:rsidRDefault="00394E7A" w:rsidP="006355D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Zur AG Wohnen gehören Reinhard </w:t>
      </w:r>
      <w:proofErr w:type="spellStart"/>
      <w:r>
        <w:rPr>
          <w:rFonts w:ascii="Tahoma" w:hAnsi="Tahoma" w:cs="Tahoma"/>
          <w:sz w:val="24"/>
          <w:szCs w:val="24"/>
        </w:rPr>
        <w:t>Rebhahn</w:t>
      </w:r>
      <w:proofErr w:type="spellEnd"/>
      <w:r>
        <w:rPr>
          <w:rFonts w:ascii="Tahoma" w:hAnsi="Tahoma" w:cs="Tahoma"/>
          <w:sz w:val="24"/>
          <w:szCs w:val="24"/>
        </w:rPr>
        <w:t xml:space="preserve">, Elisabeth Graff, Ursel Wenzel, </w:t>
      </w:r>
      <w:proofErr w:type="spellStart"/>
      <w:r>
        <w:rPr>
          <w:rFonts w:ascii="Tahoma" w:hAnsi="Tahoma" w:cs="Tahoma"/>
          <w:sz w:val="24"/>
          <w:szCs w:val="24"/>
        </w:rPr>
        <w:t>Urda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Jochheim</w:t>
      </w:r>
      <w:proofErr w:type="spellEnd"/>
      <w:r>
        <w:rPr>
          <w:rFonts w:ascii="Tahoma" w:hAnsi="Tahoma" w:cs="Tahoma"/>
          <w:sz w:val="24"/>
          <w:szCs w:val="24"/>
        </w:rPr>
        <w:t xml:space="preserve"> und Charlotte Hahn (Koordinatorin). Im Her</w:t>
      </w:r>
      <w:r w:rsidR="00BF6EEC">
        <w:rPr>
          <w:rFonts w:ascii="Tahoma" w:hAnsi="Tahoma" w:cs="Tahoma"/>
          <w:sz w:val="24"/>
          <w:szCs w:val="24"/>
        </w:rPr>
        <w:t>bst gesellte sich Margarete Gram</w:t>
      </w:r>
      <w:r>
        <w:rPr>
          <w:rFonts w:ascii="Tahoma" w:hAnsi="Tahoma" w:cs="Tahoma"/>
          <w:sz w:val="24"/>
          <w:szCs w:val="24"/>
        </w:rPr>
        <w:t>lich dazu</w:t>
      </w:r>
      <w:r w:rsidR="00BF6EEC">
        <w:rPr>
          <w:rFonts w:ascii="Tahoma" w:hAnsi="Tahoma" w:cs="Tahoma"/>
          <w:sz w:val="24"/>
          <w:szCs w:val="24"/>
        </w:rPr>
        <w:t>. Sie kandidiert für die nächste SVM.</w:t>
      </w:r>
    </w:p>
    <w:p w:rsidR="00BF6EEC" w:rsidRPr="006355D7" w:rsidRDefault="00BF6EEC" w:rsidP="006355D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Charlotte Hahn</w:t>
      </w:r>
    </w:p>
    <w:p w:rsidR="006355D7" w:rsidRPr="006355D7" w:rsidRDefault="006355D7" w:rsidP="006355D7">
      <w:pPr>
        <w:rPr>
          <w:rFonts w:ascii="Tahoma" w:hAnsi="Tahoma" w:cs="Tahoma"/>
          <w:sz w:val="24"/>
          <w:szCs w:val="24"/>
        </w:rPr>
      </w:pPr>
    </w:p>
    <w:sectPr w:rsidR="006355D7" w:rsidRPr="006355D7" w:rsidSect="00653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84EAC"/>
    <w:multiLevelType w:val="hybridMultilevel"/>
    <w:tmpl w:val="296C8144"/>
    <w:lvl w:ilvl="0" w:tplc="EC2E2BE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A48D0"/>
    <w:multiLevelType w:val="hybridMultilevel"/>
    <w:tmpl w:val="F338467C"/>
    <w:lvl w:ilvl="0" w:tplc="0AFCBD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98B"/>
    <w:rsid w:val="00376829"/>
    <w:rsid w:val="00394E7A"/>
    <w:rsid w:val="0049318F"/>
    <w:rsid w:val="006355D7"/>
    <w:rsid w:val="00653940"/>
    <w:rsid w:val="006718AB"/>
    <w:rsid w:val="007F22B0"/>
    <w:rsid w:val="00A52FB7"/>
    <w:rsid w:val="00BF6EEC"/>
    <w:rsid w:val="00D24AD4"/>
    <w:rsid w:val="00E13519"/>
    <w:rsid w:val="00EA098B"/>
    <w:rsid w:val="00FF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39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22B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4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</dc:creator>
  <cp:lastModifiedBy>Ursel Wenzel</cp:lastModifiedBy>
  <cp:revision>2</cp:revision>
  <dcterms:created xsi:type="dcterms:W3CDTF">2022-02-23T20:05:00Z</dcterms:created>
  <dcterms:modified xsi:type="dcterms:W3CDTF">2022-02-23T20:05:00Z</dcterms:modified>
</cp:coreProperties>
</file>